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29" w:rsidRPr="00706893" w:rsidRDefault="00BA7929" w:rsidP="00651D74">
      <w:pPr>
        <w:pStyle w:val="Title"/>
        <w:rPr>
          <w:rFonts w:ascii="Times New Roman" w:hAnsi="Times New Roman" w:cs="Times New Roman"/>
        </w:rPr>
      </w:pPr>
      <w:bookmarkStart w:id="0" w:name="_GoBack"/>
      <w:bookmarkEnd w:id="0"/>
      <w:r w:rsidRPr="00706893">
        <w:rPr>
          <w:rFonts w:ascii="Times New Roman" w:hAnsi="Times New Roman" w:cs="Times New Roman"/>
        </w:rPr>
        <w:t>Price Inflation and Wealth Transfer during</w:t>
      </w:r>
      <w:r w:rsidRPr="00706893">
        <w:rPr>
          <w:rFonts w:ascii="Times New Roman" w:hAnsi="Times New Roman" w:cs="Times New Roman"/>
        </w:rPr>
        <w:br/>
        <w:t xml:space="preserve">the 2008 SEC Short-Sale Ban </w:t>
      </w:r>
    </w:p>
    <w:p w:rsidR="00BA7929" w:rsidRPr="00706893" w:rsidRDefault="00BA7929" w:rsidP="00651D74">
      <w:pPr>
        <w:tabs>
          <w:tab w:val="left" w:pos="360"/>
        </w:tabs>
      </w:pPr>
    </w:p>
    <w:p w:rsidR="00BA7929" w:rsidRPr="00706893" w:rsidRDefault="00BA7929" w:rsidP="00651D74">
      <w:pPr>
        <w:tabs>
          <w:tab w:val="left" w:pos="360"/>
        </w:tabs>
      </w:pPr>
    </w:p>
    <w:p w:rsidR="00BA7929" w:rsidRPr="00BA7929" w:rsidRDefault="00BA7929" w:rsidP="00651D74">
      <w:pPr>
        <w:tabs>
          <w:tab w:val="left" w:pos="360"/>
        </w:tabs>
        <w:jc w:val="center"/>
        <w:rPr>
          <w:szCs w:val="24"/>
        </w:rPr>
      </w:pPr>
      <w:smartTag w:uri="urn:schemas-microsoft-com:office:smarttags" w:element="City">
        <w:smartTag w:uri="urn:schemas-microsoft-com:office:smarttags" w:element="place">
          <w:r w:rsidRPr="00BA7929">
            <w:rPr>
              <w:szCs w:val="24"/>
            </w:rPr>
            <w:t>Lawrence</w:t>
          </w:r>
        </w:smartTag>
      </w:smartTag>
      <w:r w:rsidRPr="00BA7929">
        <w:rPr>
          <w:szCs w:val="24"/>
        </w:rPr>
        <w:t xml:space="preserve"> E. Harris, Ethan Namvar and Blake Phillips</w:t>
      </w:r>
      <w:r w:rsidRPr="00BA7929">
        <w:rPr>
          <w:rStyle w:val="FootnoteReference"/>
          <w:szCs w:val="24"/>
        </w:rPr>
        <w:footnoteReference w:customMarkFollows="1" w:id="1"/>
        <w:sym w:font="Symbol" w:char="F02A"/>
      </w:r>
    </w:p>
    <w:p w:rsidR="00BA7929" w:rsidRPr="00706893" w:rsidRDefault="00BA7929" w:rsidP="00651D74">
      <w:pPr>
        <w:tabs>
          <w:tab w:val="left" w:pos="360"/>
        </w:tabs>
      </w:pPr>
    </w:p>
    <w:p w:rsidR="00BA7929" w:rsidRPr="00706893" w:rsidRDefault="00BA7929" w:rsidP="00651D74">
      <w:pPr>
        <w:tabs>
          <w:tab w:val="left" w:pos="360"/>
        </w:tabs>
      </w:pPr>
    </w:p>
    <w:p w:rsidR="00BA7929" w:rsidRDefault="00602A3A" w:rsidP="00602A3A">
      <w:pPr>
        <w:tabs>
          <w:tab w:val="left" w:pos="360"/>
        </w:tabs>
        <w:jc w:val="center"/>
        <w:rPr>
          <w:b/>
          <w:sz w:val="32"/>
          <w:szCs w:val="32"/>
        </w:rPr>
      </w:pPr>
      <w:r w:rsidRPr="00602A3A">
        <w:rPr>
          <w:b/>
          <w:sz w:val="32"/>
          <w:szCs w:val="32"/>
        </w:rPr>
        <w:t>Abstract</w:t>
      </w:r>
    </w:p>
    <w:p w:rsidR="00602A3A" w:rsidRPr="00602A3A" w:rsidRDefault="00602A3A" w:rsidP="00602A3A">
      <w:pPr>
        <w:tabs>
          <w:tab w:val="left" w:pos="360"/>
        </w:tabs>
        <w:jc w:val="center"/>
        <w:rPr>
          <w:b/>
          <w:szCs w:val="24"/>
        </w:rPr>
      </w:pPr>
    </w:p>
    <w:p w:rsidR="00BA7929" w:rsidRDefault="00404486" w:rsidP="004046DC">
      <w:pPr>
        <w:pStyle w:val="BodyText"/>
        <w:spacing w:line="240" w:lineRule="auto"/>
        <w:ind w:firstLine="0"/>
        <w:jc w:val="both"/>
      </w:pPr>
      <w:r>
        <w:t>W</w:t>
      </w:r>
      <w:r w:rsidRPr="00706893">
        <w:t xml:space="preserve">e estimate that the ban on short-selling financial stocks imposed by the SEC in September 2008 led to </w:t>
      </w:r>
      <w:r>
        <w:t>price inflation of 10-12%</w:t>
      </w:r>
      <w:r w:rsidRPr="00706893">
        <w:t xml:space="preserve"> in the banned stocks</w:t>
      </w:r>
      <w:r>
        <w:t xml:space="preserve"> based on </w:t>
      </w:r>
      <w:r w:rsidR="00BA7929" w:rsidRPr="00706893">
        <w:t>a factor-analytic model that extracts common valuation information from the prices of stocks that were not banned</w:t>
      </w:r>
      <w:r>
        <w:t>.</w:t>
      </w:r>
      <w:r w:rsidR="00BA7929" w:rsidRPr="00706893">
        <w:t xml:space="preserve"> </w:t>
      </w:r>
      <w:r w:rsidR="00E903F5">
        <w:t xml:space="preserve">This inflation reversed approximately two weeks after the ban for stocks with negative pre-ban performance.  In contrast, </w:t>
      </w:r>
      <w:r w:rsidR="004046DC">
        <w:t xml:space="preserve">similar magnitude price inflation was </w:t>
      </w:r>
      <w:r w:rsidR="00854B54">
        <w:t>sustained following the ban</w:t>
      </w:r>
      <w:r w:rsidR="004046DC">
        <w:t xml:space="preserve"> for stocks with positive pre-ban performance, suggesting the ban was successful in stabilizing price</w:t>
      </w:r>
      <w:r w:rsidR="00854B54">
        <w:t>s</w:t>
      </w:r>
      <w:r w:rsidR="004046DC">
        <w:t xml:space="preserve"> for these stocks.  Cross-sectional analysis reveals that inflation was isolated to stocks without traded options, suggesting option markets provided a mechanism for traders to circumnavigate the ban.  Further, we find that the level and change in short interest associated with the ban is unrelated to the level of inflation.  These results suggest that price pressure associated with closing short positions at the start of the ban is unrelated to the noted price inflation.  </w:t>
      </w:r>
      <w:r w:rsidR="00BA7929" w:rsidRPr="00706893">
        <w:t>If prices were inflated, buyers paid more than they otherwise would have for the banned stocks during the period of the ban.  We provide a</w:t>
      </w:r>
      <w:r w:rsidR="006B2408">
        <w:t xml:space="preserve"> conservative</w:t>
      </w:r>
      <w:r w:rsidR="00BA7929" w:rsidRPr="00706893">
        <w:t xml:space="preserve"> estimate of $</w:t>
      </w:r>
      <w:r w:rsidR="00BA7929">
        <w:t>2.3 to $</w:t>
      </w:r>
      <w:r w:rsidR="00BA7929" w:rsidRPr="00706893">
        <w:t>4.9 billion for the resulting wealth transfer from buyers to sellers</w:t>
      </w:r>
      <w:r w:rsidR="00BA7929">
        <w:t>, depending on how post-ban reversal evidence is interpreted</w:t>
      </w:r>
      <w:r w:rsidR="00BA7929" w:rsidRPr="00706893">
        <w:t>.</w:t>
      </w:r>
      <w:r w:rsidR="00090F2A">
        <w:t xml:space="preserve"> </w:t>
      </w:r>
      <w:r w:rsidR="00BA7929" w:rsidRPr="00706893">
        <w:t xml:space="preserve"> Such transfers should interest policymakers concerned </w:t>
      </w:r>
      <w:r w:rsidR="00BA7929">
        <w:t>with</w:t>
      </w:r>
      <w:r w:rsidR="00BA7929" w:rsidRPr="00706893">
        <w:t xml:space="preserve"> maintaining fair markets. </w:t>
      </w:r>
    </w:p>
    <w:p w:rsidR="004046DC" w:rsidRDefault="004046DC" w:rsidP="003F04B1">
      <w:pPr>
        <w:pStyle w:val="BodyText"/>
        <w:spacing w:line="360" w:lineRule="auto"/>
        <w:ind w:firstLine="0"/>
        <w:jc w:val="both"/>
      </w:pPr>
    </w:p>
    <w:p w:rsidR="004046DC" w:rsidRDefault="004046DC" w:rsidP="003F04B1">
      <w:pPr>
        <w:pStyle w:val="BodyText"/>
        <w:spacing w:line="360" w:lineRule="auto"/>
        <w:ind w:firstLine="0"/>
        <w:jc w:val="both"/>
      </w:pPr>
    </w:p>
    <w:p w:rsidR="004046DC" w:rsidRDefault="004046DC" w:rsidP="003F04B1">
      <w:pPr>
        <w:pStyle w:val="BodyText"/>
        <w:spacing w:line="360" w:lineRule="auto"/>
        <w:ind w:firstLine="0"/>
        <w:jc w:val="both"/>
      </w:pPr>
    </w:p>
    <w:p w:rsidR="004046DC" w:rsidRDefault="004046DC" w:rsidP="003F04B1">
      <w:pPr>
        <w:pStyle w:val="BodyText"/>
        <w:spacing w:line="360" w:lineRule="auto"/>
        <w:ind w:firstLine="0"/>
        <w:jc w:val="both"/>
      </w:pPr>
    </w:p>
    <w:p w:rsidR="00602A3A" w:rsidRDefault="00602A3A" w:rsidP="003F04B1">
      <w:pPr>
        <w:pStyle w:val="BodyText"/>
        <w:spacing w:line="360" w:lineRule="auto"/>
        <w:ind w:firstLine="0"/>
        <w:jc w:val="both"/>
      </w:pPr>
    </w:p>
    <w:p w:rsidR="004046DC" w:rsidRPr="004B66EC" w:rsidRDefault="004046DC" w:rsidP="004046DC">
      <w:pPr>
        <w:rPr>
          <w:sz w:val="20"/>
          <w:lang w:val="fr-CA"/>
        </w:rPr>
      </w:pPr>
      <w:r w:rsidRPr="004B66EC">
        <w:rPr>
          <w:sz w:val="20"/>
          <w:lang w:val="fr-CA"/>
        </w:rPr>
        <w:t>JEL Codes: G12, G14, G18, G28</w:t>
      </w:r>
    </w:p>
    <w:p w:rsidR="00BA7929" w:rsidRPr="00706893" w:rsidRDefault="004046DC" w:rsidP="004046DC">
      <w:pPr>
        <w:pStyle w:val="BodyText"/>
        <w:spacing w:after="0" w:line="240" w:lineRule="auto"/>
        <w:ind w:firstLine="0"/>
        <w:rPr>
          <w:sz w:val="20"/>
        </w:rPr>
      </w:pPr>
      <w:r>
        <w:rPr>
          <w:sz w:val="20"/>
        </w:rPr>
        <w:t xml:space="preserve">Keywords:  </w:t>
      </w:r>
      <w:r w:rsidR="002D3C90">
        <w:rPr>
          <w:sz w:val="20"/>
        </w:rPr>
        <w:t>S</w:t>
      </w:r>
      <w:r>
        <w:rPr>
          <w:sz w:val="20"/>
        </w:rPr>
        <w:t xml:space="preserve">hort selling; </w:t>
      </w:r>
      <w:r w:rsidR="002D3C90">
        <w:rPr>
          <w:sz w:val="20"/>
        </w:rPr>
        <w:t>S</w:t>
      </w:r>
      <w:r w:rsidR="00602A3A">
        <w:rPr>
          <w:sz w:val="20"/>
        </w:rPr>
        <w:t xml:space="preserve">hort-sale </w:t>
      </w:r>
      <w:r>
        <w:rPr>
          <w:sz w:val="20"/>
        </w:rPr>
        <w:t xml:space="preserve">ban; </w:t>
      </w:r>
      <w:r w:rsidR="002D3C90">
        <w:rPr>
          <w:sz w:val="20"/>
        </w:rPr>
        <w:t>S</w:t>
      </w:r>
      <w:r w:rsidR="00BA7929" w:rsidRPr="00706893">
        <w:rPr>
          <w:sz w:val="20"/>
        </w:rPr>
        <w:t>hort-</w:t>
      </w:r>
      <w:r>
        <w:rPr>
          <w:sz w:val="20"/>
        </w:rPr>
        <w:t>s</w:t>
      </w:r>
      <w:r w:rsidR="00BA7929" w:rsidRPr="00706893">
        <w:rPr>
          <w:sz w:val="20"/>
        </w:rPr>
        <w:t xml:space="preserve">ale </w:t>
      </w:r>
      <w:r>
        <w:rPr>
          <w:sz w:val="20"/>
        </w:rPr>
        <w:t>c</w:t>
      </w:r>
      <w:r w:rsidR="00BA7929" w:rsidRPr="00706893">
        <w:rPr>
          <w:sz w:val="20"/>
        </w:rPr>
        <w:t>onstraints</w:t>
      </w:r>
      <w:r>
        <w:rPr>
          <w:sz w:val="20"/>
        </w:rPr>
        <w:t>;</w:t>
      </w:r>
      <w:r w:rsidR="00BA7929" w:rsidRPr="00706893">
        <w:rPr>
          <w:sz w:val="20"/>
        </w:rPr>
        <w:t xml:space="preserve"> </w:t>
      </w:r>
      <w:r w:rsidR="002D3C90">
        <w:rPr>
          <w:sz w:val="20"/>
        </w:rPr>
        <w:t>F</w:t>
      </w:r>
      <w:r w:rsidR="00BA7929" w:rsidRPr="00706893">
        <w:rPr>
          <w:sz w:val="20"/>
        </w:rPr>
        <w:t xml:space="preserve">inancial </w:t>
      </w:r>
      <w:r>
        <w:rPr>
          <w:sz w:val="20"/>
        </w:rPr>
        <w:t>c</w:t>
      </w:r>
      <w:r w:rsidR="00B86BF9">
        <w:rPr>
          <w:sz w:val="20"/>
        </w:rPr>
        <w:t>risis</w:t>
      </w:r>
    </w:p>
    <w:p w:rsidR="00BA7929" w:rsidRPr="004046DC" w:rsidRDefault="00BA7929">
      <w:pPr>
        <w:rPr>
          <w:b/>
          <w:bCs/>
          <w:kern w:val="28"/>
          <w:sz w:val="32"/>
          <w:szCs w:val="32"/>
        </w:rPr>
      </w:pPr>
    </w:p>
    <w:p w:rsidR="00602A3A" w:rsidRDefault="00602A3A" w:rsidP="005A2316">
      <w:pPr>
        <w:pStyle w:val="Heading1"/>
        <w:numPr>
          <w:ilvl w:val="0"/>
          <w:numId w:val="2"/>
        </w:numPr>
        <w:spacing w:line="480" w:lineRule="auto"/>
        <w:rPr>
          <w:rFonts w:ascii="Times New Roman" w:hAnsi="Times New Roman" w:cs="Times New Roman"/>
          <w:sz w:val="24"/>
          <w:szCs w:val="24"/>
        </w:rPr>
        <w:sectPr w:rsidR="00602A3A" w:rsidSect="002A53CB">
          <w:headerReference w:type="default" r:id="rId9"/>
          <w:type w:val="continuous"/>
          <w:pgSz w:w="12240" w:h="15840"/>
          <w:pgMar w:top="1440" w:right="1440" w:bottom="1440" w:left="1440" w:header="475" w:footer="720" w:gutter="0"/>
          <w:pgNumType w:start="1"/>
          <w:cols w:space="720"/>
          <w:noEndnote/>
          <w:docGrid w:linePitch="360"/>
        </w:sectPr>
      </w:pPr>
    </w:p>
    <w:p w:rsidR="003255DC" w:rsidRPr="00BA7929" w:rsidRDefault="005A2316" w:rsidP="005A2316">
      <w:pPr>
        <w:pStyle w:val="Heading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rsidR="007A0FBF" w:rsidRDefault="006C33CB" w:rsidP="00420E8F">
      <w:pPr>
        <w:pStyle w:val="BodyText"/>
        <w:jc w:val="both"/>
      </w:pPr>
      <w:r>
        <w:t>In response to the financial crisis of 2007-2009, financial regulators around the world responded by imposing bans on short-selling financial sector stocks.  The</w:t>
      </w:r>
      <w:r w:rsidR="0027529F">
        <w:t>ir</w:t>
      </w:r>
      <w:r>
        <w:t xml:space="preserve"> objective was to restore market equilibrium, stabilize prices and provide a disincentive to the dissemination of false rumors seen as contributing to price spirals.</w:t>
      </w:r>
      <w:r>
        <w:rPr>
          <w:rStyle w:val="FootnoteReference"/>
        </w:rPr>
        <w:footnoteReference w:id="2"/>
      </w:r>
      <w:r w:rsidR="00752972">
        <w:t xml:space="preserve">  The</w:t>
      </w:r>
      <w:r w:rsidR="0027529F">
        <w:t>se</w:t>
      </w:r>
      <w:r w:rsidR="00752972">
        <w:t xml:space="preserve"> short-sale ban</w:t>
      </w:r>
      <w:r w:rsidR="0027529F">
        <w:t>s</w:t>
      </w:r>
      <w:r w:rsidR="00752972">
        <w:t xml:space="preserve"> create </w:t>
      </w:r>
      <w:r w:rsidR="008C1CE0">
        <w:t>a</w:t>
      </w:r>
      <w:r w:rsidR="00752972">
        <w:t xml:space="preserve"> unique opportunity </w:t>
      </w:r>
      <w:r w:rsidR="0027529F">
        <w:t xml:space="preserve">to analyze </w:t>
      </w:r>
      <w:r w:rsidR="00752972">
        <w:t xml:space="preserve">the effects of short-selling </w:t>
      </w:r>
      <w:r w:rsidR="006025B7">
        <w:t xml:space="preserve">in financial markets </w:t>
      </w:r>
      <w:r w:rsidR="00752972">
        <w:t xml:space="preserve">as </w:t>
      </w:r>
      <w:r w:rsidR="0027529F">
        <w:t xml:space="preserve">they represent </w:t>
      </w:r>
      <w:r w:rsidR="00752972">
        <w:t xml:space="preserve">a time-series discontinuity </w:t>
      </w:r>
      <w:r w:rsidR="0027529F">
        <w:t xml:space="preserve">in trading rules </w:t>
      </w:r>
      <w:r w:rsidR="00752972">
        <w:t>wh</w:t>
      </w:r>
      <w:r w:rsidR="00786483">
        <w:t xml:space="preserve">ereas </w:t>
      </w:r>
      <w:r w:rsidR="00752972">
        <w:t xml:space="preserve">most prior research </w:t>
      </w:r>
      <w:r w:rsidR="003E51A0">
        <w:t xml:space="preserve">examines </w:t>
      </w:r>
      <w:r w:rsidR="00752972">
        <w:t xml:space="preserve">cross-sectional </w:t>
      </w:r>
      <w:r w:rsidR="003E51A0">
        <w:t xml:space="preserve">effects </w:t>
      </w:r>
      <w:r w:rsidR="00AB799F">
        <w:t>of short-selling bans</w:t>
      </w:r>
      <w:r w:rsidR="00752972">
        <w:t>.</w:t>
      </w:r>
      <w:r w:rsidR="00AB799F">
        <w:rPr>
          <w:rStyle w:val="FootnoteReference"/>
        </w:rPr>
        <w:footnoteReference w:id="3"/>
      </w:r>
      <w:r w:rsidR="00D3453E">
        <w:t xml:space="preserve">  </w:t>
      </w:r>
      <w:r w:rsidR="003E51A0">
        <w:t>The a</w:t>
      </w:r>
      <w:r w:rsidR="008C1CE0">
        <w:t>nalysis</w:t>
      </w:r>
      <w:r w:rsidR="00D3453E">
        <w:t xml:space="preserve"> of ban effects is important from a policy perspective for market regulators</w:t>
      </w:r>
      <w:r w:rsidR="003E51A0">
        <w:t xml:space="preserve"> who are interested in their efficacy and their </w:t>
      </w:r>
      <w:r w:rsidR="00D3453E">
        <w:t xml:space="preserve">collateral effects.  In this paper, we focus on the stated objective of restoring market equilibrium and examine the effect of the short-sale ban </w:t>
      </w:r>
      <w:r w:rsidR="00AA12D8">
        <w:t xml:space="preserve">in the U.S. </w:t>
      </w:r>
      <w:r w:rsidR="00D3453E">
        <w:t xml:space="preserve">on short-selling and </w:t>
      </w:r>
      <w:r w:rsidR="003E63E2">
        <w:t>the prices of the banned stocks.</w:t>
      </w:r>
    </w:p>
    <w:p w:rsidR="00D3453E" w:rsidRDefault="00D3453E" w:rsidP="00420E8F">
      <w:pPr>
        <w:pStyle w:val="BodyText"/>
        <w:jc w:val="both"/>
      </w:pPr>
      <w:r>
        <w:t>Identification of short-sale ban effects during the financial crisis</w:t>
      </w:r>
      <w:r w:rsidR="003E63E2">
        <w:t xml:space="preserve"> faces a series of challenges. </w:t>
      </w:r>
      <w:r>
        <w:t xml:space="preserve"> </w:t>
      </w:r>
      <w:r w:rsidR="003E63E2">
        <w:t>First, t</w:t>
      </w:r>
      <w:r>
        <w:t xml:space="preserve">he ban occurred </w:t>
      </w:r>
      <w:r w:rsidR="003E51A0">
        <w:t xml:space="preserve">during </w:t>
      </w:r>
      <w:r w:rsidR="008C1CE0">
        <w:t xml:space="preserve">an extraordinary </w:t>
      </w:r>
      <w:r w:rsidR="003E51A0">
        <w:t xml:space="preserve">time </w:t>
      </w:r>
      <w:r w:rsidR="008C1CE0">
        <w:t xml:space="preserve">period </w:t>
      </w:r>
      <w:r w:rsidR="003E51A0">
        <w:t xml:space="preserve">that </w:t>
      </w:r>
      <w:r w:rsidR="008C1CE0">
        <w:t>coincid</w:t>
      </w:r>
      <w:r w:rsidR="003E51A0">
        <w:t xml:space="preserve">ed </w:t>
      </w:r>
      <w:r w:rsidR="008C1CE0">
        <w:t>with significant market uncertainty and overlapping confounding effects.  Second, the ban focused on financial sector stocks which were at the center of the crisis.  Several a</w:t>
      </w:r>
      <w:r w:rsidR="003E63E2">
        <w:t>uthors have examined th</w:t>
      </w:r>
      <w:r w:rsidR="0091294A">
        <w:t xml:space="preserve">ese </w:t>
      </w:r>
      <w:r w:rsidR="003E63E2">
        <w:t>issue</w:t>
      </w:r>
      <w:r w:rsidR="0091294A">
        <w:t>s</w:t>
      </w:r>
      <w:r w:rsidR="003E63E2">
        <w:t>, attempting to isolate the effect of the ban from endogenous influence</w:t>
      </w:r>
      <w:r w:rsidR="00A37E87">
        <w:t>s</w:t>
      </w:r>
      <w:r w:rsidR="003E63E2">
        <w:t>.  For example, Beber and Pagano (2011) examine the effect of the short-sale ban on prices for 30 countries and try to isolate ban effects by comparing post-ban</w:t>
      </w:r>
      <w:r w:rsidR="00D1352D">
        <w:t>,</w:t>
      </w:r>
      <w:r w:rsidR="003E63E2">
        <w:t xml:space="preserve"> median cumulative</w:t>
      </w:r>
      <w:r w:rsidR="00D1352D">
        <w:t>,</w:t>
      </w:r>
      <w:r w:rsidR="003E63E2">
        <w:t xml:space="preserve"> excess returns for countries subject to bans to those exempt.</w:t>
      </w:r>
      <w:r w:rsidR="00D7633F">
        <w:t xml:space="preserve">  They also analy</w:t>
      </w:r>
      <w:r w:rsidR="008B4685">
        <w:t>ze individual stock</w:t>
      </w:r>
      <w:r w:rsidR="00D7633F">
        <w:t xml:space="preserve">s, benchmarking stock returns relative to the broad index for each country.  A concern with this </w:t>
      </w:r>
      <w:r w:rsidR="00D7633F">
        <w:lastRenderedPageBreak/>
        <w:t xml:space="preserve">approach is that risk factor sensitivities </w:t>
      </w:r>
      <w:r w:rsidR="00A37E87">
        <w:t>likely</w:t>
      </w:r>
      <w:r w:rsidR="00D7633F">
        <w:t xml:space="preserve"> vary fundamentally between countries and between individual stocks and their respective country index</w:t>
      </w:r>
      <w:r w:rsidR="00AC322C">
        <w:t>es</w:t>
      </w:r>
      <w:r w:rsidR="00D7633F">
        <w:t xml:space="preserve">.  For example, </w:t>
      </w:r>
      <w:r w:rsidR="00A37E87">
        <w:t xml:space="preserve">many of </w:t>
      </w:r>
      <w:r w:rsidR="00D7633F">
        <w:t xml:space="preserve">the </w:t>
      </w:r>
      <w:r w:rsidR="00A37E87">
        <w:t>l</w:t>
      </w:r>
      <w:r w:rsidR="00D7633F">
        <w:t>argest</w:t>
      </w:r>
      <w:r w:rsidR="00A37E87">
        <w:t xml:space="preserve"> and most developed</w:t>
      </w:r>
      <w:r w:rsidR="00D7633F">
        <w:t xml:space="preserve"> financial markets </w:t>
      </w:r>
      <w:r w:rsidR="00A37E87">
        <w:t xml:space="preserve">enacted bans </w:t>
      </w:r>
      <w:r w:rsidR="00D7633F">
        <w:t>(</w:t>
      </w:r>
      <w:r w:rsidR="00A37E87">
        <w:t xml:space="preserve">e.g. the </w:t>
      </w:r>
      <w:r w:rsidR="00D7633F">
        <w:t>U.S., U.K</w:t>
      </w:r>
      <w:r w:rsidR="00F66EAC">
        <w:t>.</w:t>
      </w:r>
      <w:r w:rsidR="00A37E87">
        <w:t>, Germany,</w:t>
      </w:r>
      <w:r w:rsidR="00D7633F">
        <w:t xml:space="preserve"> Japan</w:t>
      </w:r>
      <w:r w:rsidR="00A37E87">
        <w:t xml:space="preserve"> and Canada</w:t>
      </w:r>
      <w:r w:rsidR="00D7633F">
        <w:t>)</w:t>
      </w:r>
      <w:r w:rsidR="00A37E87">
        <w:t xml:space="preserve"> raising concerns regarding the quality of risk factor matches bet</w:t>
      </w:r>
      <w:r w:rsidR="00767667">
        <w:t>ween ban</w:t>
      </w:r>
      <w:r w:rsidR="00A37E87">
        <w:t xml:space="preserve"> and control countries.</w:t>
      </w:r>
      <w:r w:rsidR="00A37E87">
        <w:rPr>
          <w:rStyle w:val="FootnoteReference"/>
        </w:rPr>
        <w:footnoteReference w:id="4"/>
      </w:r>
      <w:r w:rsidR="008B4685">
        <w:t xml:space="preserve">  If risk factor sensitivities vary between the sample and control stocks, cumulative return difference</w:t>
      </w:r>
      <w:r w:rsidR="00CD6D98">
        <w:t>s</w:t>
      </w:r>
      <w:r w:rsidR="008B4685">
        <w:t xml:space="preserve"> may reflec</w:t>
      </w:r>
      <w:r w:rsidR="002D3C90">
        <w:t xml:space="preserve">t time variation in risk factors </w:t>
      </w:r>
      <w:r w:rsidR="008B4685">
        <w:t>and not short-sale ban effects.</w:t>
      </w:r>
    </w:p>
    <w:p w:rsidR="00710A0A" w:rsidRDefault="008B4685" w:rsidP="00420E8F">
      <w:pPr>
        <w:pStyle w:val="BodyText"/>
        <w:jc w:val="both"/>
      </w:pPr>
      <w:r>
        <w:t xml:space="preserve">Our contribution to this literature is the use of a factor-analytic approach to estimate the market values that would have been observed for the banned stocks had the </w:t>
      </w:r>
      <w:r w:rsidR="00296821">
        <w:t>ban</w:t>
      </w:r>
      <w:r>
        <w:t xml:space="preserve"> not </w:t>
      </w:r>
      <w:r w:rsidR="00296821">
        <w:t xml:space="preserve">been </w:t>
      </w:r>
      <w:r>
        <w:t>imposed.  In the first stage, we estimate stock specific</w:t>
      </w:r>
      <w:r w:rsidR="00AA12D8">
        <w:t>,</w:t>
      </w:r>
      <w:r>
        <w:t xml:space="preserve"> risk factor loadings over the year preceding the ban</w:t>
      </w:r>
      <w:r w:rsidR="006025B7">
        <w:t>,</w:t>
      </w:r>
      <w:r>
        <w:t xml:space="preserve"> for</w:t>
      </w:r>
      <w:r w:rsidR="00854B54">
        <w:t xml:space="preserve"> both short-sale banned and not-</w:t>
      </w:r>
      <w:r>
        <w:t xml:space="preserve">banned stocks.  </w:t>
      </w:r>
      <w:r w:rsidR="003B561F">
        <w:t>In the second stage, using only the not</w:t>
      </w:r>
      <w:r w:rsidR="00854B54">
        <w:t>-</w:t>
      </w:r>
      <w:r w:rsidR="003B561F">
        <w:t xml:space="preserve">banned stocks, we estimate daily aggregate factor loadings utilizing the first stage factor </w:t>
      </w:r>
      <w:r w:rsidR="00854B54">
        <w:t>estimates.  Use of only the not-</w:t>
      </w:r>
      <w:r w:rsidR="003B561F">
        <w:t>banned stocks in the second stage allows</w:t>
      </w:r>
      <w:r w:rsidR="0050379E">
        <w:t xml:space="preserve"> </w:t>
      </w:r>
      <w:r w:rsidR="003B561F">
        <w:t xml:space="preserve">us </w:t>
      </w:r>
      <w:r w:rsidR="00E26EFD">
        <w:t xml:space="preserve">to </w:t>
      </w:r>
      <w:r w:rsidR="003B561F">
        <w:t xml:space="preserve">estimate counterfactual aggregate factor loadings that would have been observed in </w:t>
      </w:r>
      <w:r w:rsidR="00854B54">
        <w:t xml:space="preserve">the </w:t>
      </w:r>
      <w:r w:rsidR="003B561F">
        <w:t>absence of the ban.  We then use the counterfactual aggregate factor loadings to obtain predicted daily returns for the banned stocks based on their cross-sectional differences.</w:t>
      </w:r>
    </w:p>
    <w:p w:rsidR="008B4685" w:rsidRDefault="00710A0A" w:rsidP="00420E8F">
      <w:pPr>
        <w:pStyle w:val="BodyText"/>
        <w:jc w:val="both"/>
      </w:pPr>
      <w:r>
        <w:t xml:space="preserve">This approach has several advantages over the control sample methods </w:t>
      </w:r>
      <w:r w:rsidR="0091294A">
        <w:t xml:space="preserve">used </w:t>
      </w:r>
      <w:r>
        <w:t xml:space="preserve">in other </w:t>
      </w:r>
      <w:r w:rsidR="0091294A">
        <w:t>studies</w:t>
      </w:r>
      <w:r>
        <w:t xml:space="preserve">.  First, </w:t>
      </w:r>
      <w:r w:rsidR="00AA12D8">
        <w:t>stock</w:t>
      </w:r>
      <w:r w:rsidR="00E26EFD">
        <w:t>-</w:t>
      </w:r>
      <w:r w:rsidR="00AA12D8">
        <w:t>level risk factor loadings are used to generate predicted returns</w:t>
      </w:r>
      <w:r w:rsidR="00484D2B">
        <w:t xml:space="preserve">, thus mitigating the potential for risk factor sensitivity disparity </w:t>
      </w:r>
      <w:r w:rsidR="00AA12D8">
        <w:t xml:space="preserve">in a control sample </w:t>
      </w:r>
      <w:r w:rsidR="00484D2B">
        <w:t>to bias our results.  Second, we are able to include unique risk factors to address specific</w:t>
      </w:r>
      <w:r w:rsidR="00F66EAC">
        <w:t>,</w:t>
      </w:r>
      <w:r w:rsidR="00484D2B">
        <w:t xml:space="preserve"> potentially confounding</w:t>
      </w:r>
      <w:r w:rsidR="00F66EAC">
        <w:t>,</w:t>
      </w:r>
      <w:r w:rsidR="00484D2B">
        <w:t xml:space="preserve"> simultaneous events.  For example, in addition to the three Fama-French (199</w:t>
      </w:r>
      <w:r w:rsidR="002D3C90">
        <w:t>2</w:t>
      </w:r>
      <w:r w:rsidR="00484D2B">
        <w:t>) and the Carhart (1997) momentum factors</w:t>
      </w:r>
      <w:r w:rsidR="00F66EAC">
        <w:t>,</w:t>
      </w:r>
      <w:r w:rsidR="00484D2B">
        <w:t xml:space="preserve"> which form the foundation of our first stage, we include banned stock </w:t>
      </w:r>
      <w:r w:rsidR="00484D2B">
        <w:lastRenderedPageBreak/>
        <w:t xml:space="preserve">and TARP factors.  The banned stock factor captures </w:t>
      </w:r>
      <w:r w:rsidR="00F66EAC">
        <w:t>crisis risk factors unique to the Fama-French and Carhart factors</w:t>
      </w:r>
      <w:r w:rsidR="00AC322C">
        <w:t>.</w:t>
      </w:r>
      <w:r w:rsidR="00484D2B">
        <w:t xml:space="preserve"> </w:t>
      </w:r>
      <w:r w:rsidR="00AC322C">
        <w:t xml:space="preserve"> The </w:t>
      </w:r>
      <w:r w:rsidR="00484D2B">
        <w:t>TARP factor capture</w:t>
      </w:r>
      <w:r w:rsidR="00AC322C">
        <w:t>s</w:t>
      </w:r>
      <w:r w:rsidR="00484D2B">
        <w:t xml:space="preserve"> potential inflation which may be attributable to investors </w:t>
      </w:r>
      <w:r w:rsidR="005F5DF9">
        <w:t xml:space="preserve">speculating on firms expected to receive funding under the </w:t>
      </w:r>
      <w:r w:rsidR="005F5DF9" w:rsidRPr="00706893">
        <w:t>Troubled Asset Re</w:t>
      </w:r>
      <w:r w:rsidR="005F5DF9">
        <w:t>lief</w:t>
      </w:r>
      <w:r w:rsidR="005F5DF9" w:rsidRPr="00706893">
        <w:t xml:space="preserve"> Program (TARP)</w:t>
      </w:r>
      <w:r w:rsidR="005F5DF9">
        <w:t xml:space="preserve"> </w:t>
      </w:r>
      <w:r w:rsidR="005F5DF9" w:rsidRPr="00706893">
        <w:t xml:space="preserve">legislation that </w:t>
      </w:r>
      <w:r w:rsidR="005F5DF9">
        <w:t xml:space="preserve">the U.S. </w:t>
      </w:r>
      <w:r w:rsidR="005F5DF9" w:rsidRPr="00706893">
        <w:t>Congress was debating during the period of the ban</w:t>
      </w:r>
      <w:r w:rsidR="005F5DF9">
        <w:t>.  During model validation we find that both of these factors are priced and add incremental accuracy to our model, in addition to the commonly considered four-factor model.</w:t>
      </w:r>
    </w:p>
    <w:p w:rsidR="00BB14B8" w:rsidRDefault="005F5DF9" w:rsidP="00420E8F">
      <w:pPr>
        <w:pStyle w:val="BodyText"/>
        <w:jc w:val="both"/>
      </w:pPr>
      <w:r>
        <w:t>Finally, by estimating the model, before, during</w:t>
      </w:r>
      <w:r w:rsidR="00F82663">
        <w:t>,</w:t>
      </w:r>
      <w:r>
        <w:t xml:space="preserve"> and after the ban</w:t>
      </w:r>
      <w:r w:rsidR="00F82663">
        <w:t>,</w:t>
      </w:r>
      <w:r>
        <w:t xml:space="preserve"> we are able to validate the accuracy of the model in the periods surrounding the ban, giving us greater confidence that any noted price effect</w:t>
      </w:r>
      <w:r w:rsidR="00AA12D8">
        <w:t>s</w:t>
      </w:r>
      <w:r>
        <w:t xml:space="preserve"> can accurately be attributed to the ban.  </w:t>
      </w:r>
      <w:r w:rsidR="00AA12D8">
        <w:t>However, t</w:t>
      </w:r>
      <w:r w:rsidR="00756CE9">
        <w:t>he factor-analytic model does have limitations.  For example, in aggregate, the factor betas we estimate in the first stage must be reasonably consistent</w:t>
      </w:r>
      <w:r w:rsidR="00AC322C">
        <w:t xml:space="preserve"> over the timeframe of analysis.  Second, </w:t>
      </w:r>
      <w:r w:rsidR="00BB14B8">
        <w:t xml:space="preserve">although the magnitude of factor sensitivity may </w:t>
      </w:r>
      <w:r w:rsidR="00E26EFD">
        <w:t>vary between the banned and not-</w:t>
      </w:r>
      <w:r w:rsidR="00BB14B8">
        <w:t xml:space="preserve">banned samples, the sensitivities must be a linear extension of each other.  We validate the model before and after the ban, benchmarking actual and predicted banned stock returns and find </w:t>
      </w:r>
      <w:r w:rsidR="00E26EFD">
        <w:t xml:space="preserve">that </w:t>
      </w:r>
      <w:r w:rsidR="00BB14B8">
        <w:t xml:space="preserve">the model </w:t>
      </w:r>
      <w:r w:rsidR="00E26EFD">
        <w:t>is</w:t>
      </w:r>
      <w:r w:rsidR="00BB14B8">
        <w:t xml:space="preserve"> highly accurate in both periods.  For example, the correlation between the predicted and a</w:t>
      </w:r>
      <w:r w:rsidR="00854B54">
        <w:t>ctual means in the pre</w:t>
      </w:r>
      <w:r w:rsidR="0050379E">
        <w:t>-</w:t>
      </w:r>
      <w:r w:rsidR="00854B54">
        <w:t xml:space="preserve"> and post-</w:t>
      </w:r>
      <w:r w:rsidR="00BB14B8">
        <w:t xml:space="preserve">ban periods is 0.98 and 0.96, respectively and the </w:t>
      </w:r>
      <w:r w:rsidR="00BB14B8" w:rsidRPr="00AC7EB4">
        <w:rPr>
          <w:i/>
        </w:rPr>
        <w:t>t</w:t>
      </w:r>
      <w:r w:rsidR="00BB14B8">
        <w:t>-statistic</w:t>
      </w:r>
      <w:r w:rsidR="002D3C90">
        <w:t>s</w:t>
      </w:r>
      <w:r w:rsidR="00BB14B8">
        <w:t xml:space="preserve"> for equality of means </w:t>
      </w:r>
      <w:r w:rsidR="002D3C90">
        <w:t>are</w:t>
      </w:r>
      <w:r w:rsidR="00BB14B8">
        <w:t xml:space="preserve"> 0.37 and 0.32.  These results confirm the suitability of the model design and indicate aggregate factor sensitivity consistency.</w:t>
      </w:r>
      <w:r w:rsidR="00DB2FB9">
        <w:t xml:space="preserve">  </w:t>
      </w:r>
      <w:r w:rsidR="00E26EFD">
        <w:t xml:space="preserve">If factor loadings were not reasonably consistent across the estimation period, a decline in model accuracy would have been noted in the post-ban period.  </w:t>
      </w:r>
      <w:r w:rsidR="00DB2FB9">
        <w:t xml:space="preserve">Details of our model and the validation tests are presented in </w:t>
      </w:r>
      <w:r w:rsidR="00F82663">
        <w:t xml:space="preserve">greater </w:t>
      </w:r>
      <w:r w:rsidR="00DB2FB9">
        <w:t>detail below.</w:t>
      </w:r>
    </w:p>
    <w:p w:rsidR="00296821" w:rsidRDefault="00BB14B8" w:rsidP="00420E8F">
      <w:pPr>
        <w:pStyle w:val="BodyText"/>
        <w:jc w:val="both"/>
      </w:pPr>
      <w:r>
        <w:t xml:space="preserve">We focus our analysis on the U.S. as </w:t>
      </w:r>
      <w:r w:rsidR="00DB2FB9">
        <w:t>in this market the effect of the short-sale ban is most unresolved.  The U.S. is unique, being the only country for which price correction was not noted following the ban, potentially reflecting the influences of TARP legislation (Beber and Pegano, 2011).  Given the size and position of the U.S. in global financial markets</w:t>
      </w:r>
      <w:r w:rsidR="00F66EAC">
        <w:t>,</w:t>
      </w:r>
      <w:r w:rsidR="00DB2FB9">
        <w:t xml:space="preserve"> it </w:t>
      </w:r>
      <w:r w:rsidR="00DE37DA">
        <w:t xml:space="preserve">also </w:t>
      </w:r>
      <w:r w:rsidR="00DB2FB9">
        <w:t xml:space="preserve">is perhaps the </w:t>
      </w:r>
      <w:r w:rsidR="007325A8">
        <w:t xml:space="preserve">most difficult </w:t>
      </w:r>
      <w:r w:rsidR="00DB2FB9">
        <w:t>market to accurately benchmark.</w:t>
      </w:r>
    </w:p>
    <w:p w:rsidR="007325A8" w:rsidRDefault="00DB2FB9" w:rsidP="00420E8F">
      <w:pPr>
        <w:pStyle w:val="BodyText"/>
        <w:jc w:val="both"/>
      </w:pPr>
      <w:r w:rsidRPr="00706893">
        <w:t>Our results suggest that</w:t>
      </w:r>
      <w:r w:rsidR="007325A8">
        <w:t>,</w:t>
      </w:r>
      <w:r w:rsidRPr="00706893">
        <w:t xml:space="preserve"> during the short-sale ban</w:t>
      </w:r>
      <w:r w:rsidR="007325A8">
        <w:t>,</w:t>
      </w:r>
      <w:r w:rsidRPr="00706893">
        <w:t xml:space="preserve"> the stock prices of financial sector firms were inflated by approximately 10-12%, depending on the weights used to compute benchmark returns.</w:t>
      </w:r>
      <w:r w:rsidR="00643739">
        <w:t xml:space="preserve">  Cross-sectional analysis suggests that the noted inflation was more marked for </w:t>
      </w:r>
      <w:r w:rsidR="006025B7">
        <w:t>non-</w:t>
      </w:r>
      <w:r w:rsidR="00643739">
        <w:t>optionable stocks.  As option market makers w</w:t>
      </w:r>
      <w:r w:rsidR="00F66EAC">
        <w:t>ere exempt from the ban, option</w:t>
      </w:r>
      <w:r w:rsidR="00643739">
        <w:t xml:space="preserve"> markets served as a potential mechanism for investors to </w:t>
      </w:r>
      <w:r w:rsidR="00643739" w:rsidRPr="00AA57AE">
        <w:rPr>
          <w:szCs w:val="24"/>
        </w:rPr>
        <w:t>circumnavigate the ban by purchasing put options</w:t>
      </w:r>
      <w:r w:rsidR="00643739">
        <w:rPr>
          <w:szCs w:val="24"/>
        </w:rPr>
        <w:t xml:space="preserve">.  We find that price effects of the ban on optionable stocks were negligible.  </w:t>
      </w:r>
      <w:r w:rsidR="007325A8">
        <w:t>O</w:t>
      </w:r>
      <w:r w:rsidR="007325A8" w:rsidRPr="00706893">
        <w:t>ur results suggest that options provided an effective substitute for direct short-sales during the ban</w:t>
      </w:r>
      <w:r w:rsidR="007325A8">
        <w:t xml:space="preserve"> and</w:t>
      </w:r>
      <w:r w:rsidR="007325A8" w:rsidRPr="00706893">
        <w:t xml:space="preserve"> </w:t>
      </w:r>
      <w:r w:rsidR="007325A8">
        <w:t>c</w:t>
      </w:r>
      <w:r w:rsidR="007325A8" w:rsidRPr="00706893">
        <w:t xml:space="preserve">onsequently, the options exchanges </w:t>
      </w:r>
      <w:r w:rsidR="007325A8">
        <w:t xml:space="preserve">likely </w:t>
      </w:r>
      <w:r w:rsidR="007325A8" w:rsidRPr="00706893">
        <w:t xml:space="preserve">benefited from the ban via increased </w:t>
      </w:r>
      <w:r w:rsidR="007325A8">
        <w:t xml:space="preserve">or more sustained </w:t>
      </w:r>
      <w:r w:rsidR="007325A8" w:rsidRPr="00706893">
        <w:t>transactions revenue.</w:t>
      </w:r>
    </w:p>
    <w:p w:rsidR="00643739" w:rsidRDefault="00643739" w:rsidP="00420E8F">
      <w:pPr>
        <w:pStyle w:val="BodyText"/>
        <w:jc w:val="both"/>
        <w:rPr>
          <w:szCs w:val="24"/>
        </w:rPr>
      </w:pPr>
      <w:r>
        <w:rPr>
          <w:szCs w:val="24"/>
        </w:rPr>
        <w:t xml:space="preserve">We also examine the role of short interest in ban effects.  Although the ban did not require the termination of existing short positions, </w:t>
      </w:r>
      <w:r w:rsidR="007325A8">
        <w:rPr>
          <w:szCs w:val="24"/>
        </w:rPr>
        <w:t>a</w:t>
      </w:r>
      <w:r>
        <w:rPr>
          <w:szCs w:val="24"/>
        </w:rPr>
        <w:t xml:space="preserve">nalysis of mean trends surrounding the ban reveals that short interest dropped by approximately </w:t>
      </w:r>
      <w:r w:rsidR="007325A8">
        <w:rPr>
          <w:szCs w:val="24"/>
        </w:rPr>
        <w:t>50</w:t>
      </w:r>
      <w:r>
        <w:rPr>
          <w:szCs w:val="24"/>
        </w:rPr>
        <w:t>% coincident</w:t>
      </w:r>
      <w:r w:rsidR="00DE37DA">
        <w:rPr>
          <w:szCs w:val="24"/>
        </w:rPr>
        <w:t xml:space="preserve"> </w:t>
      </w:r>
      <w:r>
        <w:rPr>
          <w:szCs w:val="24"/>
        </w:rPr>
        <w:t>with the ban.  Thus, the inflation we document may have resulted from buying pressure as short-sellers closed</w:t>
      </w:r>
      <w:r w:rsidR="00AC322C">
        <w:rPr>
          <w:szCs w:val="24"/>
        </w:rPr>
        <w:t xml:space="preserve"> and covered</w:t>
      </w:r>
      <w:r>
        <w:rPr>
          <w:szCs w:val="24"/>
        </w:rPr>
        <w:t xml:space="preserve"> positions.  Perhaps surprisingly, we find </w:t>
      </w:r>
      <w:r w:rsidR="00BA1934">
        <w:rPr>
          <w:szCs w:val="24"/>
        </w:rPr>
        <w:t xml:space="preserve">that neither the </w:t>
      </w:r>
      <w:r w:rsidR="00F00AE6">
        <w:rPr>
          <w:szCs w:val="24"/>
        </w:rPr>
        <w:t xml:space="preserve">pre-ban </w:t>
      </w:r>
      <w:r w:rsidR="00BA1934">
        <w:rPr>
          <w:szCs w:val="24"/>
        </w:rPr>
        <w:t>short interest level, nor the change in short interest associated with the ban, are predictive of the magnitude of inflation.</w:t>
      </w:r>
    </w:p>
    <w:p w:rsidR="007325A8" w:rsidRDefault="007325A8" w:rsidP="00AC7EB4">
      <w:pPr>
        <w:pStyle w:val="BodyText"/>
        <w:jc w:val="both"/>
      </w:pPr>
      <w:r>
        <w:rPr>
          <w:szCs w:val="24"/>
        </w:rPr>
        <w:t xml:space="preserve">Potentially of greatest interest to policy makers is the sustainability of ban effects. </w:t>
      </w:r>
      <w:r w:rsidR="00DE37DA">
        <w:rPr>
          <w:szCs w:val="24"/>
        </w:rPr>
        <w:t xml:space="preserve"> </w:t>
      </w:r>
      <w:r>
        <w:t xml:space="preserve">In the post-ban period we find limited evidence of a </w:t>
      </w:r>
      <w:r w:rsidR="004112FD">
        <w:t>reversal</w:t>
      </w:r>
      <w:r>
        <w:t xml:space="preserve"> of the noted inflation in the aggregate banned stock sub-sample.  In aggregate</w:t>
      </w:r>
      <w:r w:rsidR="00F66EAC">
        <w:t>,</w:t>
      </w:r>
      <w:r>
        <w:t xml:space="preserve"> it required two months for the estimated inflation to correct, a timeframe inconsistent with a post-ban </w:t>
      </w:r>
      <w:r w:rsidR="00F66EAC">
        <w:t>reversal</w:t>
      </w:r>
      <w:r>
        <w:t xml:space="preserve"> of prices.  </w:t>
      </w:r>
      <w:r w:rsidR="002D200B">
        <w:t xml:space="preserve">The ban was applied to a broad set of stocks based on SIC codes, with no attempt made to specifically target stocks under short-sale pressure.  </w:t>
      </w:r>
      <w:r>
        <w:t xml:space="preserve">In the year preceding the ban, on average, banned stocks lost 30% of total value </w:t>
      </w:r>
      <w:r w:rsidR="002D200B">
        <w:t>but p</w:t>
      </w:r>
      <w:r>
        <w:t>re-ban losses were not pervasive</w:t>
      </w:r>
      <w:r w:rsidR="00274E65">
        <w:t>,</w:t>
      </w:r>
      <w:r>
        <w:t xml:space="preserve"> approximately half of stocks in the ban sample experience</w:t>
      </w:r>
      <w:r w:rsidR="00C62005">
        <w:t>d</w:t>
      </w:r>
      <w:r>
        <w:t xml:space="preserve"> positive pre-ban performance in t</w:t>
      </w:r>
      <w:r w:rsidR="00E4434C">
        <w:t xml:space="preserve">he six months preceding the ban.  </w:t>
      </w:r>
      <w:r w:rsidR="00F4798C">
        <w:t xml:space="preserve">During the ban, both the broad market index and the banned stock index continued to decline, reflecting predominantly negative information </w:t>
      </w:r>
      <w:r w:rsidR="004726F5">
        <w:t xml:space="preserve">revealed </w:t>
      </w:r>
      <w:r w:rsidR="00F4798C">
        <w:t xml:space="preserve">during this period </w:t>
      </w:r>
      <w:r w:rsidR="004726F5">
        <w:t xml:space="preserve">and perhaps also </w:t>
      </w:r>
      <w:r w:rsidR="00F264A7">
        <w:t xml:space="preserve">an increase </w:t>
      </w:r>
      <w:r w:rsidR="00F4798C">
        <w:t xml:space="preserve">in aggregate investor risk aversion.  </w:t>
      </w:r>
      <w:r w:rsidR="002D200B">
        <w:t xml:space="preserve">To allow a more detailed analysis of ban effects and post-ban sustainability, we sort the banned stock sub-sample by return in the six months preceding the ban, as a proxy for aggregate crisis risk factor sensitivity.  </w:t>
      </w:r>
      <w:r w:rsidR="00F4798C">
        <w:t xml:space="preserve">As short-sale constraints impede negative information from being impounded in prices, we hypothesize that banned stocks with greater sensitivity to aggregate crisis risk factors would realize greater inflation.  </w:t>
      </w:r>
      <w:r w:rsidR="002D200B">
        <w:t>Surprisingly, we find that</w:t>
      </w:r>
      <w:r>
        <w:t xml:space="preserve"> the magnitude of inflation is similar for the two sub-samples, </w:t>
      </w:r>
      <w:r w:rsidR="002D200B">
        <w:t xml:space="preserve">but </w:t>
      </w:r>
      <w:r>
        <w:t>f</w:t>
      </w:r>
      <w:r w:rsidRPr="00706893">
        <w:t xml:space="preserve">or the </w:t>
      </w:r>
      <w:r>
        <w:t>negative return sub</w:t>
      </w:r>
      <w:r w:rsidRPr="00706893">
        <w:t xml:space="preserve">-sample, inflation resulting from the ban is </w:t>
      </w:r>
      <w:r w:rsidR="002D200B">
        <w:t>reversed</w:t>
      </w:r>
      <w:r w:rsidRPr="00706893">
        <w:t xml:space="preserve"> </w:t>
      </w:r>
      <w:r w:rsidR="002D200B">
        <w:t>within</w:t>
      </w:r>
      <w:r w:rsidRPr="00706893">
        <w:t xml:space="preserve"> </w:t>
      </w:r>
      <w:r>
        <w:t>two</w:t>
      </w:r>
      <w:r w:rsidRPr="00706893">
        <w:t xml:space="preserve"> weeks</w:t>
      </w:r>
      <w:r w:rsidR="004112FD">
        <w:t xml:space="preserve"> of the end of the ban</w:t>
      </w:r>
      <w:r w:rsidRPr="00706893">
        <w:t>.</w:t>
      </w:r>
      <w:r w:rsidR="00E07079">
        <w:t xml:space="preserve">  For the positive performing subsample</w:t>
      </w:r>
      <w:r w:rsidR="00F264A7">
        <w:t>,</w:t>
      </w:r>
      <w:r w:rsidR="00E07079">
        <w:t xml:space="preserve"> prices</w:t>
      </w:r>
      <w:r w:rsidR="00D310D0">
        <w:t xml:space="preserve"> </w:t>
      </w:r>
      <w:r w:rsidR="00E07079">
        <w:t>remained inflated until at least the end of 2008.</w:t>
      </w:r>
    </w:p>
    <w:p w:rsidR="00BA7929" w:rsidRPr="00706893" w:rsidRDefault="00BA7929" w:rsidP="00420E8F">
      <w:pPr>
        <w:pStyle w:val="BodyText"/>
        <w:jc w:val="both"/>
      </w:pPr>
      <w:r w:rsidRPr="00706893">
        <w:t>If financial stocks were indeed overvalued, or if they were merely properly valued before the ban, the b</w:t>
      </w:r>
      <w:r>
        <w:t>an on short-</w:t>
      </w:r>
      <w:r w:rsidRPr="00706893">
        <w:t xml:space="preserve">selling had a potentially </w:t>
      </w:r>
      <w:r w:rsidR="002D200B">
        <w:t>significant</w:t>
      </w:r>
      <w:r w:rsidRPr="00706893">
        <w:t xml:space="preserve"> unintended consequence.  By preventing short-sellers from trading, the SEC created a bias toward higher prices.  The unintended consequence of this bias is that </w:t>
      </w:r>
      <w:r w:rsidR="00F264A7">
        <w:t xml:space="preserve">many </w:t>
      </w:r>
      <w:r w:rsidRPr="00706893">
        <w:t xml:space="preserve">buyers bought at prices above fundamental value.  </w:t>
      </w:r>
      <w:r w:rsidR="001D73C6">
        <w:t>T</w:t>
      </w:r>
      <w:r w:rsidRPr="00706893">
        <w:t xml:space="preserve">hese buyers </w:t>
      </w:r>
      <w:r w:rsidR="001D73C6">
        <w:t xml:space="preserve">incurred </w:t>
      </w:r>
      <w:r w:rsidRPr="00706893">
        <w:t>significant loses when prices ultimately adjust</w:t>
      </w:r>
      <w:r w:rsidR="001D73C6">
        <w:t>ed</w:t>
      </w:r>
      <w:r w:rsidRPr="00706893">
        <w:t xml:space="preserve"> downward to</w:t>
      </w:r>
      <w:r w:rsidR="00375DEF">
        <w:t>wards</w:t>
      </w:r>
      <w:r w:rsidRPr="00706893">
        <w:t xml:space="preserve"> their true</w:t>
      </w:r>
      <w:r w:rsidR="004D3A09">
        <w:t>,</w:t>
      </w:r>
      <w:r w:rsidRPr="00706893">
        <w:t xml:space="preserve"> intrinsic values.</w:t>
      </w:r>
    </w:p>
    <w:p w:rsidR="002D200B" w:rsidRDefault="00BA7929" w:rsidP="00420E8F">
      <w:pPr>
        <w:pStyle w:val="BodyText"/>
        <w:jc w:val="both"/>
      </w:pPr>
      <w:r w:rsidRPr="00706893">
        <w:t>Anecdotal evidence suggests that this scenario indeed o</w:t>
      </w:r>
      <w:r w:rsidR="00E07079">
        <w:t xml:space="preserve">ccurred.  Before the September </w:t>
      </w:r>
      <w:r w:rsidRPr="00706893">
        <w:t>2008</w:t>
      </w:r>
      <w:r>
        <w:t xml:space="preserve"> ban on short-</w:t>
      </w:r>
      <w:r w:rsidRPr="00706893">
        <w:t xml:space="preserve">selling, Freddie Mac (FRE) and Fannie Mae (FNM) common shares were trading near 30 cents and 50 cents, respectively.  During the ban, their shares rose to nearly $2.00 per share.  Following the end of the ban, the share prices of both firms soon returned to approximately 60 cents per share.  If the ban inflated FRE and FNM share prices by preventing short-sellers from supplying liquidity to an imbalance of buyers, then buyers traded at artificially high prices.  For long sellers, the ban on short-selling provided an unexpected windfall.  We estimate that during the period of the ban, inflation transferred $597M from buyers to sellers in the shares of FRE and FNM.  </w:t>
      </w:r>
      <w:r w:rsidR="00375DEF">
        <w:t>Depending on how the reversal evidence is interpreted, w</w:t>
      </w:r>
      <w:r w:rsidR="00375DEF" w:rsidRPr="00706893">
        <w:t>e estimate that buyers transferred $</w:t>
      </w:r>
      <w:r w:rsidR="00375DEF">
        <w:t>2.3 to $</w:t>
      </w:r>
      <w:r w:rsidR="00375DEF" w:rsidRPr="00706893">
        <w:t>4.9 billion more to sellers</w:t>
      </w:r>
      <w:r w:rsidR="00375DEF">
        <w:t xml:space="preserve"> </w:t>
      </w:r>
      <w:r w:rsidR="00375DEF" w:rsidRPr="00706893">
        <w:t>than they would have had the SEC not imposed the ban</w:t>
      </w:r>
      <w:r w:rsidR="00375DEF">
        <w:t>.</w:t>
      </w:r>
    </w:p>
    <w:p w:rsidR="00BA7929" w:rsidRDefault="00FF52D4" w:rsidP="00420E8F">
      <w:pPr>
        <w:pStyle w:val="BodyText"/>
        <w:jc w:val="both"/>
      </w:pPr>
      <w:r w:rsidRPr="00FF52D4">
        <w:t xml:space="preserve">The remainder of the paper is organized as follows.  </w:t>
      </w:r>
      <w:r w:rsidR="00BA7929" w:rsidRPr="00FF52D4">
        <w:t xml:space="preserve">Section </w:t>
      </w:r>
      <w:r w:rsidR="005A2316" w:rsidRPr="00FF52D4">
        <w:t xml:space="preserve">2 </w:t>
      </w:r>
      <w:r w:rsidR="00BA7929" w:rsidRPr="00FF52D4">
        <w:t xml:space="preserve">provides an overview of the related literature.  We describe the data used in the analysis in Section </w:t>
      </w:r>
      <w:r w:rsidR="005A2316" w:rsidRPr="00FF52D4">
        <w:t>3</w:t>
      </w:r>
      <w:r w:rsidR="00BA7929" w:rsidRPr="00FF52D4">
        <w:t xml:space="preserve">, and introduce our analytic methods in Section </w:t>
      </w:r>
      <w:r w:rsidR="005A2316" w:rsidRPr="00FF52D4">
        <w:t>4</w:t>
      </w:r>
      <w:r w:rsidR="00BA7929" w:rsidRPr="00FF52D4">
        <w:t xml:space="preserve">.  </w:t>
      </w:r>
      <w:r w:rsidRPr="00FF52D4">
        <w:t xml:space="preserve">Discussion </w:t>
      </w:r>
      <w:r w:rsidR="005B24EE">
        <w:t xml:space="preserve">of </w:t>
      </w:r>
      <w:r w:rsidRPr="00FF52D4">
        <w:t>potential endogeneity biases appears in Section 5, o</w:t>
      </w:r>
      <w:r w:rsidR="00BA7929" w:rsidRPr="00FF52D4">
        <w:t>ur inflation estimation results appear</w:t>
      </w:r>
      <w:r w:rsidR="007C36E0" w:rsidRPr="00FF52D4">
        <w:t xml:space="preserve"> in</w:t>
      </w:r>
      <w:r w:rsidR="00BA7929" w:rsidRPr="00FF52D4">
        <w:t xml:space="preserve"> Section </w:t>
      </w:r>
      <w:r w:rsidRPr="00FF52D4">
        <w:t>6</w:t>
      </w:r>
      <w:r w:rsidR="00BA7929" w:rsidRPr="00FF52D4">
        <w:t xml:space="preserve">, and our analysis of post-ban reversals and wealth transfers between buyers and sellers appears in Section </w:t>
      </w:r>
      <w:r w:rsidRPr="00FF52D4">
        <w:t>7</w:t>
      </w:r>
      <w:r w:rsidR="00BA7929" w:rsidRPr="00FF52D4">
        <w:t xml:space="preserve">.  </w:t>
      </w:r>
      <w:r w:rsidR="00E07079">
        <w:t xml:space="preserve">In Section 8 </w:t>
      </w:r>
      <w:r w:rsidR="00BA7929" w:rsidRPr="00FF52D4">
        <w:t>we conclude.</w:t>
      </w:r>
    </w:p>
    <w:p w:rsidR="00FA4F6A" w:rsidRDefault="00FA4F6A" w:rsidP="00420E8F">
      <w:pPr>
        <w:pStyle w:val="BodyText"/>
        <w:jc w:val="both"/>
      </w:pPr>
    </w:p>
    <w:p w:rsidR="00BA7929" w:rsidRPr="00BA7929" w:rsidRDefault="00B30F16" w:rsidP="00AC7EB4">
      <w:pPr>
        <w:pStyle w:val="Heading1"/>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Related </w:t>
      </w:r>
      <w:r w:rsidR="00BA7929" w:rsidRPr="00BA7929">
        <w:rPr>
          <w:rFonts w:ascii="Times New Roman" w:hAnsi="Times New Roman" w:cs="Times New Roman"/>
          <w:sz w:val="24"/>
          <w:szCs w:val="24"/>
        </w:rPr>
        <w:t>Literature</w:t>
      </w:r>
    </w:p>
    <w:p w:rsidR="00BA7929" w:rsidRPr="00706893" w:rsidRDefault="00BA7929" w:rsidP="00AC7EB4">
      <w:pPr>
        <w:jc w:val="both"/>
      </w:pPr>
    </w:p>
    <w:p w:rsidR="00BA7929" w:rsidRPr="00706893" w:rsidRDefault="00BA7929" w:rsidP="00420E8F">
      <w:pPr>
        <w:pStyle w:val="BodyText"/>
        <w:jc w:val="both"/>
      </w:pPr>
      <w:r w:rsidRPr="00706893">
        <w:t xml:space="preserve">The effect of short-sale constraints on market efficiency is well documented in the </w:t>
      </w:r>
      <w:r>
        <w:t xml:space="preserve">finance </w:t>
      </w:r>
      <w:r w:rsidRPr="00706893">
        <w:t xml:space="preserve">literature.  Early theoretical work by Miller (1977) argued that short-sale constraints exclude pessimistic investors from the market.  Thus, a subset of value opinions </w:t>
      </w:r>
      <w:r w:rsidR="00B333B2">
        <w:t>is</w:t>
      </w:r>
      <w:r w:rsidR="00B333B2" w:rsidRPr="00706893">
        <w:t xml:space="preserve"> </w:t>
      </w:r>
      <w:r w:rsidRPr="00706893">
        <w:t>excluded from the cross-section of opinions which converge to form prices, resulting in an upward, optimis</w:t>
      </w:r>
      <w:r w:rsidR="00B333B2">
        <w:t xml:space="preserve">tic </w:t>
      </w:r>
      <w:r w:rsidRPr="00706893">
        <w:t>bias in short-sale constrained stock prices.  Diamond and Verrecchia (1987) extended the theoretical work of Miller, arguing in a rational framework that option introduction provides the opportunity for pessimistic investors to realize synthetic, short positions,</w:t>
      </w:r>
      <w:r w:rsidR="007C36E0">
        <w:t xml:space="preserve"> which could</w:t>
      </w:r>
      <w:r w:rsidRPr="00706893">
        <w:t xml:space="preserve"> potentially mitigat</w:t>
      </w:r>
      <w:r w:rsidR="007C36E0">
        <w:t>e</w:t>
      </w:r>
      <w:r w:rsidRPr="00706893">
        <w:t xml:space="preserve"> short-sale constraints.  </w:t>
      </w:r>
      <w:r w:rsidR="005F143D">
        <w:t>In support of this theory, Phillips (20</w:t>
      </w:r>
      <w:r w:rsidR="00FA4F6A">
        <w:t>11</w:t>
      </w:r>
      <w:r w:rsidR="005F143D">
        <w:t>) finds that option introduction mitigates 79% of the price efficiency disparity between short-sale constrained and unconstrained stock</w:t>
      </w:r>
      <w:r w:rsidR="00780209">
        <w:t>s</w:t>
      </w:r>
      <w:r w:rsidR="005F143D">
        <w:t xml:space="preserve"> in relation to negative information.</w:t>
      </w:r>
      <w:r w:rsidR="005A2316">
        <w:t xml:space="preserve">  But, the </w:t>
      </w:r>
      <w:r w:rsidR="00242306">
        <w:t xml:space="preserve">empirical </w:t>
      </w:r>
      <w:r w:rsidR="005A2316">
        <w:t>evidence on the potential for options to mitigate short-sale constraints is not conclusive</w:t>
      </w:r>
      <w:r w:rsidR="00F746A7">
        <w:t xml:space="preserve"> (for example, see Bris et al</w:t>
      </w:r>
      <w:r w:rsidR="00133420">
        <w:t>.</w:t>
      </w:r>
      <w:r w:rsidR="00F746A7">
        <w:t xml:space="preserve"> (2007) below)</w:t>
      </w:r>
      <w:r w:rsidR="005A2316">
        <w:t>.</w:t>
      </w:r>
    </w:p>
    <w:p w:rsidR="005F143D" w:rsidRDefault="00BA7929" w:rsidP="00420E8F">
      <w:pPr>
        <w:pStyle w:val="BodyText"/>
        <w:jc w:val="both"/>
      </w:pPr>
      <w:r w:rsidRPr="00706893">
        <w:t>In aggregate, the majority of empirical analys</w:t>
      </w:r>
      <w:r w:rsidR="00B333B2">
        <w:t>e</w:t>
      </w:r>
      <w:r w:rsidRPr="00706893">
        <w:t>s find</w:t>
      </w:r>
      <w:r w:rsidR="00B333B2">
        <w:t>s</w:t>
      </w:r>
      <w:r w:rsidRPr="00706893">
        <w:t xml:space="preserve"> that short-sale constraints contribute to overpricing and a reduction in market quality and efficiency.</w:t>
      </w:r>
      <w:r w:rsidRPr="00706893">
        <w:rPr>
          <w:rStyle w:val="FootnoteReference"/>
        </w:rPr>
        <w:footnoteReference w:id="5"/>
      </w:r>
      <w:r w:rsidRPr="00706893">
        <w:t xml:space="preserve"> Our </w:t>
      </w:r>
      <w:r w:rsidR="00DB2322">
        <w:t>analysis</w:t>
      </w:r>
      <w:r w:rsidRPr="00706893">
        <w:t xml:space="preserve"> relates most </w:t>
      </w:r>
      <w:r w:rsidR="00DB2322">
        <w:t>close</w:t>
      </w:r>
      <w:r w:rsidRPr="00706893">
        <w:t>ly to the literature focusing on aggregate market effects of short-selling and short-sale constraints.  For example, Bris</w:t>
      </w:r>
      <w:r w:rsidR="00133420">
        <w:t xml:space="preserve"> et al. </w:t>
      </w:r>
      <w:r w:rsidRPr="00706893">
        <w:t xml:space="preserve">(2007) analyze cross-sectional and time series information </w:t>
      </w:r>
      <w:r w:rsidR="00DB2322" w:rsidRPr="00706893">
        <w:t xml:space="preserve">from </w:t>
      </w:r>
      <w:r w:rsidR="00DB2322">
        <w:t>46</w:t>
      </w:r>
      <w:r w:rsidRPr="00706893">
        <w:t xml:space="preserve"> equity markets and find that short-sale restrictions do not have noticeable </w:t>
      </w:r>
      <w:r w:rsidR="005B24EE">
        <w:t>e</w:t>
      </w:r>
      <w:r w:rsidRPr="00706893">
        <w:t>ffects at the individual stock level</w:t>
      </w:r>
      <w:r w:rsidR="00F746A7">
        <w:t xml:space="preserve"> and find the effect of put options to be insignificant in the presence of short-selling restrictions</w:t>
      </w:r>
      <w:r w:rsidRPr="00706893">
        <w:t>.  On the other hand, they find that markets with active short-sellers are informationally more efficient than markets without significant short-selling.</w:t>
      </w:r>
      <w:r w:rsidR="005F143D">
        <w:t xml:space="preserve">  </w:t>
      </w:r>
      <w:r w:rsidRPr="00706893">
        <w:t>Charoenrook and Daouk (2005) examine 111 countries to determine the effect of market-wide short-sale restrictions on value-weighted market returns.  They find that index returns are less volatile and markets are more liquid when short-sales are allowed</w:t>
      </w:r>
      <w:r w:rsidR="00E23AB6">
        <w:t>.</w:t>
      </w:r>
    </w:p>
    <w:p w:rsidR="005F143D" w:rsidRPr="00706893" w:rsidRDefault="00F746A7" w:rsidP="00420E8F">
      <w:pPr>
        <w:pStyle w:val="BodyText"/>
        <w:jc w:val="both"/>
      </w:pPr>
      <w:r>
        <w:t>More r</w:t>
      </w:r>
      <w:r w:rsidR="007C36E0">
        <w:t xml:space="preserve">ecently, </w:t>
      </w:r>
      <w:r>
        <w:t xml:space="preserve">a </w:t>
      </w:r>
      <w:r w:rsidR="007C36E0">
        <w:t>new literature has</w:t>
      </w:r>
      <w:r w:rsidR="00BA7929" w:rsidRPr="00706893">
        <w:t xml:space="preserve"> emerged </w:t>
      </w:r>
      <w:r w:rsidR="00B333B2">
        <w:t xml:space="preserve">that </w:t>
      </w:r>
      <w:r w:rsidR="00BA7929" w:rsidRPr="00706893">
        <w:t>examines actions</w:t>
      </w:r>
      <w:r w:rsidR="007C36E0">
        <w:t xml:space="preserve"> taken</w:t>
      </w:r>
      <w:r w:rsidR="00BA7929" w:rsidRPr="00706893">
        <w:t xml:space="preserve"> </w:t>
      </w:r>
      <w:r>
        <w:t xml:space="preserve">in 2008 </w:t>
      </w:r>
      <w:r w:rsidR="00BA7929" w:rsidRPr="00706893">
        <w:t>by the SEC</w:t>
      </w:r>
      <w:r w:rsidR="007C36E0">
        <w:t xml:space="preserve"> intended</w:t>
      </w:r>
      <w:r w:rsidR="00BA7929" w:rsidRPr="00706893">
        <w:t xml:space="preserve"> to mitigate the effect</w:t>
      </w:r>
      <w:r>
        <w:t>s</w:t>
      </w:r>
      <w:r w:rsidR="00BA7929" w:rsidRPr="00706893">
        <w:t xml:space="preserve"> of short-sales on the market.  Boulton and Braga-Alves (</w:t>
      </w:r>
      <w:r w:rsidRPr="00706893">
        <w:t>20</w:t>
      </w:r>
      <w:r>
        <w:t>10</w:t>
      </w:r>
      <w:r w:rsidR="00BA7929" w:rsidRPr="00706893">
        <w:t>) analyze the 2008 SEC ban on naked short-sales</w:t>
      </w:r>
      <w:r>
        <w:t xml:space="preserve"> and</w:t>
      </w:r>
      <w:r w:rsidR="00BA7929" w:rsidRPr="00706893">
        <w:t xml:space="preserve"> find that </w:t>
      </w:r>
      <w:r w:rsidR="005B24EE">
        <w:t xml:space="preserve">the </w:t>
      </w:r>
      <w:r w:rsidR="00BA7929" w:rsidRPr="00706893">
        <w:t xml:space="preserve">ban had an </w:t>
      </w:r>
      <w:r w:rsidR="00FA4F6A" w:rsidRPr="00706893">
        <w:t>adverse effect</w:t>
      </w:r>
      <w:r w:rsidR="00BA7929" w:rsidRPr="00706893">
        <w:t xml:space="preserve"> on liquidity and price informativeness.  </w:t>
      </w:r>
      <w:r w:rsidR="005F143D" w:rsidRPr="00706893">
        <w:t>Boehmer, Jones, and Zhang (200</w:t>
      </w:r>
      <w:r w:rsidR="005F143D">
        <w:t>9)</w:t>
      </w:r>
      <w:r w:rsidR="005F143D" w:rsidRPr="00706893">
        <w:t xml:space="preserve"> </w:t>
      </w:r>
      <w:r w:rsidR="001F4913">
        <w:t xml:space="preserve">find that </w:t>
      </w:r>
      <w:r w:rsidR="002C2743">
        <w:t>during the 2008 short sale ban in the U.S.</w:t>
      </w:r>
      <w:r w:rsidR="00D310D0">
        <w:t>,</w:t>
      </w:r>
      <w:r w:rsidR="002C2743">
        <w:t xml:space="preserve"> </w:t>
      </w:r>
      <w:r w:rsidR="001F4913">
        <w:t>shorting activity dropped by approximately 65% and that stock</w:t>
      </w:r>
      <w:r>
        <w:t>s</w:t>
      </w:r>
      <w:r w:rsidR="001F4913">
        <w:t xml:space="preserve"> subject to the ban suffered a degradation in market quality as measured by spreads, price impact</w:t>
      </w:r>
      <w:r w:rsidR="00D310D0">
        <w:t>,</w:t>
      </w:r>
      <w:r w:rsidR="001F4913">
        <w:t xml:space="preserve"> and intraday volatility.</w:t>
      </w:r>
      <w:r w:rsidR="005F143D" w:rsidRPr="00706893">
        <w:t xml:space="preserve"> </w:t>
      </w:r>
      <w:r w:rsidR="001F4913">
        <w:t xml:space="preserve"> </w:t>
      </w:r>
      <w:r w:rsidR="002F170F">
        <w:t xml:space="preserve">As previously discussed, </w:t>
      </w:r>
      <w:r w:rsidR="001F4913">
        <w:t>Beber and Pagano (20</w:t>
      </w:r>
      <w:r w:rsidR="00FA4F6A">
        <w:t>11</w:t>
      </w:r>
      <w:r w:rsidR="001F4913">
        <w:t>) examine short-sale bans in 30 countries</w:t>
      </w:r>
      <w:r w:rsidR="00133420">
        <w:t xml:space="preserve"> between 2007 and </w:t>
      </w:r>
      <w:r w:rsidR="00FA4F6A">
        <w:t>2009 and</w:t>
      </w:r>
      <w:r w:rsidR="001F4913">
        <w:t xml:space="preserve"> find that the bans were detrimental for liquidity, slowed price discovery and failed to support all studied stock prices with the possible exception of U.S. financial stocks.  Beber and Pagano explain their results by suggesting that TARP activities may have slowed or confounded identification of a correction within </w:t>
      </w:r>
      <w:smartTag w:uri="urn:schemas-microsoft-com:office:smarttags" w:element="country-region">
        <w:smartTag w:uri="urn:schemas-microsoft-com:office:smarttags" w:element="place">
          <w:r w:rsidR="001F4913">
            <w:t>U.S.</w:t>
          </w:r>
        </w:smartTag>
      </w:smartTag>
      <w:r w:rsidR="001F4913">
        <w:t xml:space="preserve"> markets.</w:t>
      </w:r>
    </w:p>
    <w:p w:rsidR="005F143D" w:rsidRDefault="005F143D" w:rsidP="00420E8F">
      <w:pPr>
        <w:pStyle w:val="BodyText"/>
        <w:jc w:val="both"/>
      </w:pPr>
      <w:r>
        <w:t>In contrast to</w:t>
      </w:r>
      <w:r w:rsidR="001F4913">
        <w:t xml:space="preserve"> this literature</w:t>
      </w:r>
      <w:r w:rsidR="002F170F">
        <w:t>,</w:t>
      </w:r>
      <w:r w:rsidR="001F4913">
        <w:t xml:space="preserve"> which focuses mo</w:t>
      </w:r>
      <w:r w:rsidR="001B2D23">
        <w:t xml:space="preserve">stly </w:t>
      </w:r>
      <w:r w:rsidR="001F4913">
        <w:t>on market quality issues</w:t>
      </w:r>
      <w:r w:rsidR="00780209">
        <w:t xml:space="preserve"> and limits analysis of</w:t>
      </w:r>
      <w:r w:rsidR="00F746A7">
        <w:t xml:space="preserve"> price</w:t>
      </w:r>
      <w:r w:rsidR="00780209">
        <w:t xml:space="preserve"> inflation to excess stock returns</w:t>
      </w:r>
      <w:r w:rsidRPr="00706893">
        <w:t xml:space="preserve">, we </w:t>
      </w:r>
      <w:r>
        <w:t>use</w:t>
      </w:r>
      <w:r w:rsidRPr="00706893">
        <w:t xml:space="preserve"> a more sophisticated model </w:t>
      </w:r>
      <w:r w:rsidR="001B2D23">
        <w:t xml:space="preserve">that </w:t>
      </w:r>
      <w:r w:rsidR="001F4913">
        <w:t>allows a detailed and rigorous analysis</w:t>
      </w:r>
      <w:r w:rsidR="001F4913" w:rsidRPr="00706893">
        <w:t xml:space="preserve"> </w:t>
      </w:r>
      <w:r w:rsidR="00DB2322">
        <w:t>of counterfactual</w:t>
      </w:r>
      <w:r w:rsidRPr="00706893">
        <w:t xml:space="preserve"> prices for the banned stocks had the ban not been enacted</w:t>
      </w:r>
      <w:r w:rsidR="00133420">
        <w:t xml:space="preserve"> in the U</w:t>
      </w:r>
      <w:r w:rsidR="005B24EE">
        <w:t xml:space="preserve">nited </w:t>
      </w:r>
      <w:r w:rsidR="00133420">
        <w:t>S</w:t>
      </w:r>
      <w:r w:rsidR="005B24EE">
        <w:t>tates</w:t>
      </w:r>
      <w:r w:rsidR="00133420">
        <w:t>.</w:t>
      </w:r>
      <w:r w:rsidR="001F4913">
        <w:t xml:space="preserve">  </w:t>
      </w:r>
      <w:r w:rsidR="00780209">
        <w:t>Through this process</w:t>
      </w:r>
      <w:r w:rsidR="005B24EE">
        <w:t>,</w:t>
      </w:r>
      <w:r w:rsidR="00780209">
        <w:t xml:space="preserve"> we seek to isolate the effects of the ban from potentially confounding events</w:t>
      </w:r>
      <w:r w:rsidR="00133420">
        <w:t>,</w:t>
      </w:r>
      <w:r w:rsidR="00780209">
        <w:t xml:space="preserve"> such </w:t>
      </w:r>
      <w:r w:rsidR="00133420">
        <w:t xml:space="preserve">as </w:t>
      </w:r>
      <w:r w:rsidR="00780209">
        <w:t>TARP</w:t>
      </w:r>
      <w:r w:rsidR="00133420">
        <w:t>,</w:t>
      </w:r>
      <w:r w:rsidR="00780209">
        <w:t xml:space="preserve"> to</w:t>
      </w:r>
      <w:r w:rsidRPr="00706893">
        <w:t xml:space="preserve"> provide direct estimates of the magnitude and cost of the inflation to buyers.  This calculation is of obvious importance to the debate about whether the ban was sensible.</w:t>
      </w:r>
    </w:p>
    <w:p w:rsidR="00BA7929" w:rsidRPr="00BA7929" w:rsidRDefault="00BA7929" w:rsidP="00AC7EB4">
      <w:pPr>
        <w:pStyle w:val="Heading1"/>
        <w:numPr>
          <w:ilvl w:val="0"/>
          <w:numId w:val="2"/>
        </w:numPr>
        <w:jc w:val="both"/>
        <w:rPr>
          <w:rFonts w:ascii="Times New Roman" w:hAnsi="Times New Roman" w:cs="Times New Roman"/>
          <w:sz w:val="24"/>
          <w:szCs w:val="24"/>
        </w:rPr>
      </w:pPr>
      <w:r w:rsidRPr="00BA7929">
        <w:rPr>
          <w:rFonts w:ascii="Times New Roman" w:hAnsi="Times New Roman" w:cs="Times New Roman"/>
          <w:sz w:val="24"/>
          <w:szCs w:val="24"/>
        </w:rPr>
        <w:t>Data</w:t>
      </w:r>
    </w:p>
    <w:p w:rsidR="00BA7929" w:rsidRPr="00706893" w:rsidRDefault="00BA7929" w:rsidP="00AC7EB4">
      <w:pPr>
        <w:jc w:val="both"/>
      </w:pPr>
    </w:p>
    <w:p w:rsidR="00BA7929" w:rsidRPr="00706893" w:rsidRDefault="00BA7929" w:rsidP="00420E8F">
      <w:pPr>
        <w:pStyle w:val="BodyText"/>
        <w:jc w:val="both"/>
      </w:pPr>
      <w:r w:rsidRPr="00706893">
        <w:t xml:space="preserve">Our sample includes all stocks listed on the </w:t>
      </w:r>
      <w:smartTag w:uri="urn:schemas-microsoft-com:office:smarttags" w:element="State">
        <w:smartTag w:uri="urn:schemas-microsoft-com:office:smarttags" w:element="place">
          <w:r w:rsidRPr="00706893">
            <w:t>New York</w:t>
          </w:r>
        </w:smartTag>
      </w:smartTag>
      <w:r w:rsidRPr="00706893">
        <w:t xml:space="preserve"> (NYSE), the American (AMEX) and the National Association of Securities Dealers Automated Quotations (NASDAQ) stock exchanges between </w:t>
      </w:r>
      <w:smartTag w:uri="urn:schemas-microsoft-com:office:smarttags" w:element="date">
        <w:smartTagPr>
          <w:attr w:name="Month" w:val="9"/>
          <w:attr w:name="Day" w:val="18"/>
          <w:attr w:name="Year" w:val="2007"/>
        </w:smartTagPr>
        <w:r w:rsidRPr="00706893">
          <w:t>September 18, 2007</w:t>
        </w:r>
      </w:smartTag>
      <w:r w:rsidRPr="00706893">
        <w:t xml:space="preserve"> and </w:t>
      </w:r>
      <w:smartTag w:uri="urn:schemas-microsoft-com:office:smarttags" w:element="date">
        <w:smartTagPr>
          <w:attr w:name="Month" w:val="12"/>
          <w:attr w:name="Day" w:val="31"/>
          <w:attr w:name="Year" w:val="2008"/>
        </w:smartTagPr>
        <w:r w:rsidRPr="00706893">
          <w:t>December 31, 2008</w:t>
        </w:r>
      </w:smartTag>
      <w:r w:rsidRPr="00706893">
        <w:t xml:space="preserve">.  We divided the sample into three sub-periods: the </w:t>
      </w:r>
      <w:r w:rsidRPr="00706893">
        <w:rPr>
          <w:i/>
        </w:rPr>
        <w:t>pre-ban period</w:t>
      </w:r>
      <w:r w:rsidRPr="00706893">
        <w:t xml:space="preserve"> (</w:t>
      </w:r>
      <w:smartTag w:uri="urn:schemas-microsoft-com:office:smarttags" w:element="date">
        <w:smartTagPr>
          <w:attr w:name="Month" w:val="9"/>
          <w:attr w:name="Day" w:val="18"/>
          <w:attr w:name="Year" w:val="2007"/>
        </w:smartTagPr>
        <w:r w:rsidRPr="00706893">
          <w:t>September 18, 2007</w:t>
        </w:r>
      </w:smartTag>
      <w:r w:rsidRPr="00706893">
        <w:t xml:space="preserve"> to </w:t>
      </w:r>
      <w:smartTag w:uri="urn:schemas-microsoft-com:office:smarttags" w:element="date">
        <w:smartTagPr>
          <w:attr w:name="Month" w:val="9"/>
          <w:attr w:name="Day" w:val="18"/>
          <w:attr w:name="Year" w:val="2008"/>
        </w:smartTagPr>
        <w:r w:rsidRPr="00706893">
          <w:t>September 18, 2008</w:t>
        </w:r>
      </w:smartTag>
      <w:r w:rsidRPr="00706893">
        <w:t xml:space="preserve">), the </w:t>
      </w:r>
      <w:r w:rsidRPr="00706893">
        <w:rPr>
          <w:i/>
        </w:rPr>
        <w:t>ban period</w:t>
      </w:r>
      <w:r w:rsidRPr="00706893">
        <w:t xml:space="preserve"> (September 19 to </w:t>
      </w:r>
      <w:smartTag w:uri="urn:schemas-microsoft-com:office:smarttags" w:element="date">
        <w:smartTagPr>
          <w:attr w:name="Month" w:val="10"/>
          <w:attr w:name="Day" w:val="8"/>
          <w:attr w:name="Year" w:val="2008"/>
        </w:smartTagPr>
        <w:r w:rsidRPr="00706893">
          <w:t>October 8, 2008</w:t>
        </w:r>
      </w:smartTag>
      <w:r w:rsidRPr="00706893">
        <w:t xml:space="preserve">), and the </w:t>
      </w:r>
      <w:r w:rsidRPr="00706893">
        <w:rPr>
          <w:i/>
        </w:rPr>
        <w:t>post-ban period</w:t>
      </w:r>
      <w:r w:rsidRPr="00706893">
        <w:t xml:space="preserve"> (October 9 to </w:t>
      </w:r>
      <w:smartTag w:uri="urn:schemas-microsoft-com:office:smarttags" w:element="date">
        <w:smartTagPr>
          <w:attr w:name="Month" w:val="12"/>
          <w:attr w:name="Day" w:val="31"/>
          <w:attr w:name="Year" w:val="2008"/>
        </w:smartTagPr>
        <w:r w:rsidRPr="00706893">
          <w:t>December 31, 2008</w:t>
        </w:r>
      </w:smartTag>
      <w:r w:rsidRPr="00706893">
        <w:t>).  In total, the SEC placed 987 stocks</w:t>
      </w:r>
      <w:r w:rsidR="0021079E">
        <w:t xml:space="preserve"> on</w:t>
      </w:r>
      <w:r w:rsidRPr="00706893">
        <w:t xml:space="preserve"> the banned list, 88% of which were included on the original list released on September 19.  An additional 10% were added on September 22 and 23, and the remaining 2% were added between September 24 and as late as October 7.</w:t>
      </w:r>
      <w:r w:rsidRPr="00706893">
        <w:rPr>
          <w:rStyle w:val="FootnoteReference"/>
        </w:rPr>
        <w:footnoteReference w:id="6"/>
      </w:r>
    </w:p>
    <w:p w:rsidR="00BA7929" w:rsidRPr="00706893" w:rsidRDefault="00BA7929" w:rsidP="00420E8F">
      <w:pPr>
        <w:pStyle w:val="BodyText"/>
        <w:jc w:val="both"/>
      </w:pPr>
      <w:r w:rsidRPr="00706893">
        <w:t>We obtain stock price, volume, and shares outstanding data from the Center for Research in Security Prices (CRSP) database, and short interest data from the Short Squeeze database.</w:t>
      </w:r>
      <w:r w:rsidRPr="00706893">
        <w:rPr>
          <w:rStyle w:val="FootnoteReference"/>
        </w:rPr>
        <w:footnoteReference w:id="7"/>
      </w:r>
      <w:r w:rsidRPr="00706893">
        <w:t xml:space="preserve">  The CRSP dataset includes 7,639 stocks in our sample period.  We exclude all stocks with an incomplete data record (1,733 securities), all stocks with market capitalization less than $50 million on September 18, 2008 (1,067 securities), and all stocks for whi</w:t>
      </w:r>
      <w:r w:rsidR="00B30F16">
        <w:t>ch trading volume exceeded five-</w:t>
      </w:r>
      <w:r w:rsidRPr="00706893">
        <w:t>times shares outstanding on any given day in the sample (5 securities).</w:t>
      </w:r>
      <w:r w:rsidRPr="00706893">
        <w:rPr>
          <w:rStyle w:val="FootnoteReference"/>
        </w:rPr>
        <w:footnoteReference w:id="8"/>
      </w:r>
      <w:r w:rsidRPr="00706893">
        <w:t xml:space="preserve">  We also exclude stocks for which inclusion on the SEC short-sale ban list is ambiguous, including stocks added and subsequently deleted at the request of the firm (10 </w:t>
      </w:r>
      <w:r>
        <w:t>securitie</w:t>
      </w:r>
      <w:r w:rsidRPr="00706893">
        <w:t xml:space="preserve">s), or </w:t>
      </w:r>
      <w:r>
        <w:t>securities</w:t>
      </w:r>
      <w:r w:rsidRPr="00706893">
        <w:t xml:space="preserve"> added after September 26, 2008 (10 s</w:t>
      </w:r>
      <w:r>
        <w:t>ecurities</w:t>
      </w:r>
      <w:r w:rsidRPr="00706893">
        <w:t>).  Finally, we exclude 4 stocks for which short interest data are missing from the Short Squeeze database.  The resulting sample includes 4,810 stocks, 676 of which appeared on the SEC ban list</w:t>
      </w:r>
      <w:r w:rsidR="0021079E">
        <w:t xml:space="preserve"> and </w:t>
      </w:r>
      <w:r w:rsidR="0021079E" w:rsidRPr="00706893">
        <w:t>127</w:t>
      </w:r>
      <w:r w:rsidR="0021079E">
        <w:t xml:space="preserve"> of which </w:t>
      </w:r>
      <w:r w:rsidR="0021079E" w:rsidRPr="00706893">
        <w:t>received TARP funds</w:t>
      </w:r>
      <w:r w:rsidR="0021079E">
        <w:t xml:space="preserve"> b</w:t>
      </w:r>
      <w:r w:rsidRPr="00706893">
        <w:t xml:space="preserve">etween </w:t>
      </w:r>
      <w:smartTag w:uri="urn:schemas-microsoft-com:office:smarttags" w:element="date">
        <w:smartTagPr>
          <w:attr w:name="Month" w:val="10"/>
          <w:attr w:name="Day" w:val="28"/>
          <w:attr w:name="Year" w:val="2008"/>
        </w:smartTagPr>
        <w:r w:rsidRPr="00706893">
          <w:t>October 28, 2008</w:t>
        </w:r>
      </w:smartTag>
      <w:r w:rsidRPr="00706893">
        <w:t xml:space="preserve"> and December 31, 2008.  The returns analyzed in this study are dividend- and split-adjusted log price relatives.</w:t>
      </w:r>
    </w:p>
    <w:p w:rsidR="00BA7929" w:rsidRPr="00706893" w:rsidRDefault="00BA7929" w:rsidP="00420E8F">
      <w:pPr>
        <w:pStyle w:val="BodyText"/>
        <w:jc w:val="both"/>
      </w:pPr>
      <w:r w:rsidRPr="00706893">
        <w:t xml:space="preserve">Figure 1 plots cumulative return indices over the 15 month sample period.  </w:t>
      </w:r>
      <w:r w:rsidR="002C2743">
        <w:t>On a v</w:t>
      </w:r>
      <w:r w:rsidR="00B30F16">
        <w:t xml:space="preserve">alue-weighted </w:t>
      </w:r>
      <w:r w:rsidR="002C2743">
        <w:t>basis</w:t>
      </w:r>
      <w:r w:rsidR="00D310D0">
        <w:t>,</w:t>
      </w:r>
      <w:r w:rsidR="00B30F16">
        <w:t xml:space="preserve"> not</w:t>
      </w:r>
      <w:r w:rsidRPr="00706893">
        <w:t xml:space="preserve">-banned and banned stocks lost 8% and 30% of value, respectively, </w:t>
      </w:r>
      <w:r w:rsidR="002C2743">
        <w:t xml:space="preserve">in </w:t>
      </w:r>
      <w:r w:rsidRPr="00706893">
        <w:t xml:space="preserve">the pre-ban period.  </w:t>
      </w:r>
      <w:r w:rsidR="002C2743">
        <w:t xml:space="preserve">The banned and not-banned </w:t>
      </w:r>
      <w:r w:rsidR="006F3E19">
        <w:t>sub</w:t>
      </w:r>
      <w:r w:rsidR="002C2743">
        <w:t>samples lost an additional 18% and 14% of market value</w:t>
      </w:r>
      <w:r w:rsidR="006F3E19">
        <w:t xml:space="preserve"> during the ban</w:t>
      </w:r>
      <w:r w:rsidR="002C2743">
        <w:t>, cumulating in total loses of 32% and 54%, respectively, over our 15 month sample.  L</w:t>
      </w:r>
      <w:r w:rsidRPr="00706893">
        <w:t xml:space="preserve">osses were greater for banned stocks for which a substantial fraction of their float was sold short as of </w:t>
      </w:r>
      <w:smartTag w:uri="urn:schemas-microsoft-com:office:smarttags" w:element="date">
        <w:smartTagPr>
          <w:attr w:name="Month" w:val="9"/>
          <w:attr w:name="Day" w:val="15"/>
          <w:attr w:name="Year" w:val="2008"/>
        </w:smartTagPr>
        <w:r w:rsidRPr="00706893">
          <w:t>September 15, 2008</w:t>
        </w:r>
      </w:smartTag>
      <w:r w:rsidRPr="00706893">
        <w:t>.  Over the entire sample period, the short interest-weighted banned index lost 67% of market value.</w:t>
      </w:r>
      <w:r w:rsidRPr="00706893">
        <w:rPr>
          <w:rStyle w:val="FootnoteReference"/>
        </w:rPr>
        <w:footnoteReference w:id="9"/>
      </w:r>
      <w:r w:rsidR="00E82F17">
        <w:t xml:space="preserve">  Finally, to provide a sense of aggregate performance of firms which received TARP funds, we report index returns weighted by </w:t>
      </w:r>
      <w:r w:rsidR="00E82F17" w:rsidRPr="00706893">
        <w:t xml:space="preserve">the fraction of </w:t>
      </w:r>
      <w:r w:rsidR="00E82F17">
        <w:t>each firm</w:t>
      </w:r>
      <w:r w:rsidR="00274E65">
        <w:t>’</w:t>
      </w:r>
      <w:r w:rsidR="00E82F17">
        <w:t>s</w:t>
      </w:r>
      <w:r w:rsidR="00E82F17" w:rsidRPr="00706893">
        <w:t xml:space="preserve"> October 28, 2008 common stock market capitalization that it received in TARP funds</w:t>
      </w:r>
      <w:r w:rsidR="00E82F17">
        <w:t xml:space="preserve">.  </w:t>
      </w:r>
      <w:r w:rsidR="00E82F17" w:rsidRPr="00706893">
        <w:t>The TARP index decreased by 68% over our sample period</w:t>
      </w:r>
      <w:r w:rsidR="00E82F17">
        <w:t xml:space="preserve">, reflecting that </w:t>
      </w:r>
      <w:r w:rsidR="00E82F17" w:rsidRPr="00706893">
        <w:t xml:space="preserve">companies </w:t>
      </w:r>
      <w:r w:rsidR="00274E65">
        <w:t>which</w:t>
      </w:r>
      <w:r w:rsidR="00E82F17" w:rsidRPr="00706893">
        <w:t xml:space="preserve"> received TARP funds were,</w:t>
      </w:r>
      <w:r w:rsidR="00E82F17">
        <w:t xml:space="preserve"> on average, </w:t>
      </w:r>
      <w:r w:rsidR="00E82F17" w:rsidRPr="00706893">
        <w:t>more financially distressed</w:t>
      </w:r>
      <w:r w:rsidR="00E82F17">
        <w:t>.</w:t>
      </w:r>
    </w:p>
    <w:p w:rsidR="00BA7929" w:rsidRPr="00706893" w:rsidRDefault="00BA7929" w:rsidP="00420E8F">
      <w:pPr>
        <w:pStyle w:val="BodyText"/>
        <w:jc w:val="both"/>
      </w:pPr>
      <w:r w:rsidRPr="00706893">
        <w:t xml:space="preserve">Figure 2 reports bi-monthly, mean short interest for the </w:t>
      </w:r>
      <w:r w:rsidR="00DB4984">
        <w:t>not-banned</w:t>
      </w:r>
      <w:r w:rsidRPr="00706893">
        <w:t xml:space="preserve"> and banned stocks in 2008.  The reported means are weighted by market capitalization and by the fraction of float sold short on September 15, 2008 to make the </w:t>
      </w:r>
      <w:r w:rsidR="002814BD">
        <w:t>trends</w:t>
      </w:r>
      <w:r w:rsidRPr="00706893">
        <w:t xml:space="preserve"> comparable to the corresponding value and short </w:t>
      </w:r>
      <w:r w:rsidR="002814BD">
        <w:t>interest-weighted index returns</w:t>
      </w:r>
      <w:r w:rsidRPr="00706893">
        <w:t xml:space="preserve"> shown in Figure 1.  Both weighting methods produce similar results.  From January through June, short interest gradually increased for both banned and no</w:t>
      </w:r>
      <w:r w:rsidR="00DB4984">
        <w:t>t</w:t>
      </w:r>
      <w:r w:rsidRPr="00706893">
        <w:t>-banned stocks.  Short interest then rapidly declined in the second half of the year as short-sellers closed positions.  Several processes explain these results.  On the demand side, short-sellers may have believed prices had run their course and covered their positions</w:t>
      </w:r>
      <w:r w:rsidR="0021079E">
        <w:t xml:space="preserve"> and financing</w:t>
      </w:r>
      <w:r w:rsidRPr="00706893">
        <w:t xml:space="preserve"> issues may </w:t>
      </w:r>
      <w:r w:rsidR="00DB4984" w:rsidRPr="00706893">
        <w:t>have caused</w:t>
      </w:r>
      <w:r w:rsidRPr="00706893">
        <w:t xml:space="preserve"> them to reduce their leverage.  On the supply side, stock lenders concerned about the integrity of their collateral funds were withdrawing shares from the lending market as were those lenders who were selling stock.  </w:t>
      </w:r>
      <w:r w:rsidR="00492EBF">
        <w:t>Finally</w:t>
      </w:r>
      <w:r w:rsidR="00DB4984">
        <w:t xml:space="preserve">, </w:t>
      </w:r>
      <w:r w:rsidR="00DB4984" w:rsidRPr="00706893">
        <w:t>the</w:t>
      </w:r>
      <w:r w:rsidR="00967F13">
        <w:t xml:space="preserve"> </w:t>
      </w:r>
      <w:r w:rsidRPr="00706893">
        <w:t>short-sale ban also contributed to the decline in short interest following its imposition.</w:t>
      </w:r>
    </w:p>
    <w:p w:rsidR="00BA7929" w:rsidRDefault="00BA7929" w:rsidP="00420E8F">
      <w:pPr>
        <w:pStyle w:val="BodyText"/>
        <w:jc w:val="both"/>
      </w:pPr>
      <w:r w:rsidRPr="00706893">
        <w:t xml:space="preserve">Visual inspection of the cumulative index returns in Figure 1 suggests that the short-sale ban had a limited effect on arresting the decline in value of the banned (primarily financial sector) stocks.  </w:t>
      </w:r>
      <w:r w:rsidR="00492EBF">
        <w:t>In fact, s</w:t>
      </w:r>
      <w:r w:rsidRPr="00706893">
        <w:t>tock value declines during the ban, for both no</w:t>
      </w:r>
      <w:r w:rsidR="00DB4984">
        <w:t>t</w:t>
      </w:r>
      <w:r w:rsidRPr="00706893">
        <w:t>-banned and banned stocks, were more rapid than any other equivalent time span in the pre- or post-ban periods.  The remainder of th</w:t>
      </w:r>
      <w:r w:rsidR="002814BD">
        <w:t>e</w:t>
      </w:r>
      <w:r w:rsidRPr="00706893">
        <w:t xml:space="preserve"> paper examines prices during and around the ban period in greater detail.</w:t>
      </w:r>
    </w:p>
    <w:p w:rsidR="00BA7929" w:rsidRPr="00BA7929" w:rsidRDefault="00BA7929" w:rsidP="00AC7EB4">
      <w:pPr>
        <w:pStyle w:val="Heading1"/>
        <w:numPr>
          <w:ilvl w:val="0"/>
          <w:numId w:val="2"/>
        </w:numPr>
        <w:jc w:val="both"/>
        <w:rPr>
          <w:rFonts w:ascii="Times New Roman" w:hAnsi="Times New Roman" w:cs="Times New Roman"/>
          <w:sz w:val="24"/>
          <w:szCs w:val="24"/>
        </w:rPr>
      </w:pPr>
      <w:r w:rsidRPr="00BA7929">
        <w:rPr>
          <w:rFonts w:ascii="Times New Roman" w:hAnsi="Times New Roman" w:cs="Times New Roman"/>
          <w:sz w:val="24"/>
          <w:szCs w:val="24"/>
        </w:rPr>
        <w:t>The Factor-Analytic Model</w:t>
      </w:r>
    </w:p>
    <w:p w:rsidR="00BA7929" w:rsidRPr="00706893" w:rsidRDefault="00BA7929" w:rsidP="00AC7EB4">
      <w:pPr>
        <w:jc w:val="both"/>
      </w:pPr>
    </w:p>
    <w:p w:rsidR="00BA7929" w:rsidRPr="00706893" w:rsidRDefault="00BA7929" w:rsidP="00420E8F">
      <w:pPr>
        <w:pStyle w:val="BodyText"/>
        <w:jc w:val="both"/>
      </w:pPr>
      <w:r w:rsidRPr="00706893">
        <w:t xml:space="preserve">We use a factor-analytic approach to estimate </w:t>
      </w:r>
      <w:r w:rsidR="002814BD">
        <w:t>counterfactual</w:t>
      </w:r>
      <w:r w:rsidRPr="00706893">
        <w:t xml:space="preserve"> market values that would have been observed for the banned stocks had the SEC not imposed the short-sale ban.  To do so, we use the information in the prices of the </w:t>
      </w:r>
      <w:r w:rsidR="00DB4984">
        <w:t>not-banned</w:t>
      </w:r>
      <w:r w:rsidRPr="00706893">
        <w:t xml:space="preserve"> stock returns to project returns for the banned stocks.  Our method is a two-stage process.  In the first stage, for each stock, over the year before the short-sale ban, we estimate factor loadings associated with the three Fama-French factors (Fama and French, 199</w:t>
      </w:r>
      <w:r w:rsidR="002814BD">
        <w:t>2</w:t>
      </w:r>
      <w:r w:rsidRPr="00706893">
        <w:t>), the momentum factor (Carhart, 1997), the value-weighted banned stock index, and the TARP index using the following time-series regression:</w:t>
      </w:r>
    </w:p>
    <w:p w:rsidR="00BA7929" w:rsidRPr="00706893" w:rsidRDefault="00BA7929" w:rsidP="002864C3">
      <w:pPr>
        <w:pStyle w:val="BodyText"/>
        <w:spacing w:line="240" w:lineRule="auto"/>
        <w:jc w:val="both"/>
      </w:pPr>
    </w:p>
    <w:p w:rsidR="00BA7929" w:rsidRPr="00706893" w:rsidRDefault="00BA7929" w:rsidP="002864C3">
      <w:pPr>
        <w:pStyle w:val="BodyText"/>
        <w:jc w:val="both"/>
      </w:pPr>
      <w:r w:rsidRPr="00706893">
        <w:rPr>
          <w:position w:val="-14"/>
        </w:rPr>
        <w:object w:dxaOrig="8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8.6pt" o:ole="">
            <v:imagedata r:id="rId10" o:title=""/>
          </v:shape>
          <o:OLEObject Type="Embed" ProgID="Equation.DSMT4" ShapeID="_x0000_i1025" DrawAspect="Content" ObjectID="_1420024366" r:id="rId11"/>
        </w:object>
      </w:r>
      <w:r w:rsidRPr="00706893">
        <w:t xml:space="preserve">              (1)</w:t>
      </w:r>
    </w:p>
    <w:p w:rsidR="00BA7929" w:rsidRPr="00706893" w:rsidRDefault="00BA7929" w:rsidP="002864C3">
      <w:pPr>
        <w:pStyle w:val="BodyText"/>
        <w:spacing w:line="240" w:lineRule="auto"/>
        <w:jc w:val="both"/>
      </w:pPr>
    </w:p>
    <w:p w:rsidR="00BA7929" w:rsidRDefault="00BA7929" w:rsidP="00420E8F">
      <w:pPr>
        <w:pStyle w:val="FootnoteText"/>
        <w:spacing w:line="480" w:lineRule="auto"/>
        <w:jc w:val="both"/>
      </w:pPr>
      <w:r w:rsidRPr="00792994">
        <w:rPr>
          <w:sz w:val="24"/>
          <w:szCs w:val="24"/>
        </w:rPr>
        <w:t xml:space="preserve">where </w:t>
      </w:r>
      <w:r w:rsidRPr="00792994">
        <w:rPr>
          <w:i/>
          <w:sz w:val="24"/>
          <w:szCs w:val="24"/>
        </w:rPr>
        <w:t>r</w:t>
      </w:r>
      <w:r w:rsidRPr="00792994">
        <w:rPr>
          <w:i/>
          <w:sz w:val="24"/>
          <w:szCs w:val="24"/>
          <w:vertAlign w:val="subscript"/>
        </w:rPr>
        <w:t>i,t</w:t>
      </w:r>
      <w:r w:rsidRPr="00792994">
        <w:rPr>
          <w:sz w:val="24"/>
          <w:szCs w:val="24"/>
        </w:rPr>
        <w:t xml:space="preserve"> is the dividend- and split-adjusted log price relative for stock </w:t>
      </w:r>
      <w:r w:rsidRPr="00792994">
        <w:rPr>
          <w:i/>
          <w:sz w:val="24"/>
          <w:szCs w:val="24"/>
        </w:rPr>
        <w:t>i</w:t>
      </w:r>
      <w:r w:rsidRPr="00792994">
        <w:rPr>
          <w:sz w:val="24"/>
          <w:szCs w:val="24"/>
        </w:rPr>
        <w:t xml:space="preserve"> on day </w:t>
      </w:r>
      <w:r w:rsidRPr="00792994">
        <w:rPr>
          <w:i/>
          <w:sz w:val="24"/>
          <w:szCs w:val="24"/>
        </w:rPr>
        <w:t>t</w:t>
      </w:r>
      <w:r w:rsidRPr="00792994">
        <w:rPr>
          <w:sz w:val="24"/>
          <w:szCs w:val="24"/>
        </w:rPr>
        <w:t xml:space="preserve">.  </w:t>
      </w:r>
      <w:r w:rsidRPr="00792994">
        <w:rPr>
          <w:i/>
          <w:sz w:val="24"/>
          <w:szCs w:val="24"/>
        </w:rPr>
        <w:t>ExMkt</w:t>
      </w:r>
      <w:r w:rsidRPr="00792994">
        <w:rPr>
          <w:sz w:val="24"/>
          <w:szCs w:val="24"/>
        </w:rPr>
        <w:t xml:space="preserve">, </w:t>
      </w:r>
      <w:r w:rsidRPr="00792994">
        <w:rPr>
          <w:i/>
          <w:sz w:val="24"/>
          <w:szCs w:val="24"/>
        </w:rPr>
        <w:t>SMB</w:t>
      </w:r>
      <w:r w:rsidRPr="00792994">
        <w:rPr>
          <w:sz w:val="24"/>
          <w:szCs w:val="24"/>
        </w:rPr>
        <w:t xml:space="preserve">, </w:t>
      </w:r>
      <w:r w:rsidRPr="00792994">
        <w:rPr>
          <w:i/>
          <w:sz w:val="24"/>
          <w:szCs w:val="24"/>
        </w:rPr>
        <w:t>HML,</w:t>
      </w:r>
      <w:r w:rsidRPr="00792994">
        <w:rPr>
          <w:sz w:val="24"/>
          <w:szCs w:val="24"/>
        </w:rPr>
        <w:t xml:space="preserve"> and </w:t>
      </w:r>
      <w:r w:rsidRPr="00792994">
        <w:rPr>
          <w:i/>
          <w:sz w:val="24"/>
          <w:szCs w:val="24"/>
        </w:rPr>
        <w:t>MOM</w:t>
      </w:r>
      <w:r w:rsidRPr="00792994">
        <w:rPr>
          <w:sz w:val="24"/>
          <w:szCs w:val="24"/>
        </w:rPr>
        <w:t xml:space="preserve"> are the Fama-French and momentum factors, </w:t>
      </w:r>
      <w:r w:rsidRPr="00792994">
        <w:rPr>
          <w:i/>
          <w:sz w:val="24"/>
          <w:szCs w:val="24"/>
        </w:rPr>
        <w:t>BAN</w:t>
      </w:r>
      <w:r w:rsidRPr="00792994">
        <w:rPr>
          <w:sz w:val="24"/>
          <w:szCs w:val="24"/>
        </w:rPr>
        <w:t xml:space="preserve"> is the value-weighted return to the banned stocks, and </w:t>
      </w:r>
      <w:r w:rsidRPr="00792994">
        <w:rPr>
          <w:i/>
          <w:sz w:val="24"/>
          <w:szCs w:val="24"/>
        </w:rPr>
        <w:t>TARP</w:t>
      </w:r>
      <w:r w:rsidRPr="00792994">
        <w:rPr>
          <w:sz w:val="24"/>
          <w:szCs w:val="24"/>
        </w:rPr>
        <w:t xml:space="preserve"> </w:t>
      </w:r>
      <w:r w:rsidR="006F3E19">
        <w:rPr>
          <w:sz w:val="24"/>
          <w:szCs w:val="24"/>
        </w:rPr>
        <w:t xml:space="preserve">is </w:t>
      </w:r>
      <w:r w:rsidRPr="00792994">
        <w:rPr>
          <w:sz w:val="24"/>
          <w:szCs w:val="24"/>
        </w:rPr>
        <w:t xml:space="preserve">the </w:t>
      </w:r>
      <w:r w:rsidR="006F3E19">
        <w:rPr>
          <w:sz w:val="24"/>
          <w:szCs w:val="24"/>
        </w:rPr>
        <w:t xml:space="preserve">previously defined </w:t>
      </w:r>
      <w:r w:rsidRPr="00792994">
        <w:rPr>
          <w:sz w:val="24"/>
          <w:szCs w:val="24"/>
        </w:rPr>
        <w:t>TARP-weighted return to the banned stocks</w:t>
      </w:r>
      <w:r w:rsidR="006F3E19">
        <w:rPr>
          <w:sz w:val="24"/>
          <w:szCs w:val="24"/>
        </w:rPr>
        <w:t>.</w:t>
      </w:r>
      <w:r w:rsidR="00792994" w:rsidRPr="00792994">
        <w:rPr>
          <w:sz w:val="24"/>
          <w:szCs w:val="24"/>
        </w:rPr>
        <w:t xml:space="preserve"> </w:t>
      </w:r>
      <w:r w:rsidR="00792994">
        <w:rPr>
          <w:sz w:val="24"/>
          <w:szCs w:val="24"/>
        </w:rPr>
        <w:t xml:space="preserve"> </w:t>
      </w:r>
      <w:r w:rsidRPr="00792994">
        <w:rPr>
          <w:sz w:val="24"/>
          <w:szCs w:val="24"/>
        </w:rPr>
        <w:t xml:space="preserve">This regression identifies factor loadings for six market-based risk factors </w:t>
      </w:r>
      <w:r w:rsidR="006F3E19">
        <w:rPr>
          <w:sz w:val="24"/>
          <w:szCs w:val="24"/>
        </w:rPr>
        <w:t xml:space="preserve">for each stock in the sample.  </w:t>
      </w:r>
      <w:r w:rsidRPr="00792994">
        <w:rPr>
          <w:sz w:val="24"/>
          <w:szCs w:val="24"/>
        </w:rPr>
        <w:t xml:space="preserve">Factor loadings on the variable </w:t>
      </w:r>
      <w:r w:rsidR="00D310D0">
        <w:rPr>
          <w:i/>
          <w:sz w:val="24"/>
          <w:szCs w:val="24"/>
        </w:rPr>
        <w:t>BAN</w:t>
      </w:r>
      <w:r w:rsidR="00D310D0" w:rsidRPr="00792994">
        <w:rPr>
          <w:i/>
          <w:sz w:val="24"/>
          <w:szCs w:val="24"/>
        </w:rPr>
        <w:t xml:space="preserve"> </w:t>
      </w:r>
      <w:r w:rsidRPr="00792994">
        <w:rPr>
          <w:sz w:val="24"/>
          <w:szCs w:val="24"/>
        </w:rPr>
        <w:t xml:space="preserve">will help identify </w:t>
      </w:r>
      <w:r w:rsidR="000D0B99" w:rsidRPr="00792994">
        <w:rPr>
          <w:sz w:val="24"/>
          <w:szCs w:val="24"/>
        </w:rPr>
        <w:t>risk factors unique to the crisis as crisis effects are most pronounced in these stocks</w:t>
      </w:r>
      <w:r w:rsidRPr="00792994">
        <w:rPr>
          <w:sz w:val="24"/>
          <w:szCs w:val="24"/>
        </w:rPr>
        <w:t xml:space="preserve">.  </w:t>
      </w:r>
      <w:r w:rsidR="00DB4984">
        <w:rPr>
          <w:sz w:val="24"/>
          <w:szCs w:val="24"/>
        </w:rPr>
        <w:t>Loadings</w:t>
      </w:r>
      <w:r w:rsidRPr="00792994">
        <w:rPr>
          <w:sz w:val="24"/>
          <w:szCs w:val="24"/>
        </w:rPr>
        <w:t xml:space="preserve"> on the</w:t>
      </w:r>
      <w:r w:rsidR="00DB4984" w:rsidRPr="00DB4984">
        <w:rPr>
          <w:i/>
          <w:sz w:val="24"/>
          <w:szCs w:val="24"/>
        </w:rPr>
        <w:t xml:space="preserve"> </w:t>
      </w:r>
      <w:r w:rsidR="00DB4984" w:rsidRPr="00792994">
        <w:rPr>
          <w:i/>
          <w:sz w:val="24"/>
          <w:szCs w:val="24"/>
        </w:rPr>
        <w:t>TARP</w:t>
      </w:r>
      <w:r w:rsidRPr="00792994">
        <w:rPr>
          <w:sz w:val="24"/>
          <w:szCs w:val="24"/>
        </w:rPr>
        <w:t xml:space="preserve"> variable will help identify the effect, if any, </w:t>
      </w:r>
      <w:r w:rsidR="00DB4984">
        <w:rPr>
          <w:sz w:val="24"/>
          <w:szCs w:val="24"/>
        </w:rPr>
        <w:t xml:space="preserve">that </w:t>
      </w:r>
      <w:r w:rsidRPr="00792994">
        <w:rPr>
          <w:sz w:val="24"/>
          <w:szCs w:val="24"/>
        </w:rPr>
        <w:t>optimism about the passage of the TARP legislation may have had on the banned stock returns.</w:t>
      </w:r>
      <w:r>
        <w:t xml:space="preserve">  </w:t>
      </w:r>
    </w:p>
    <w:p w:rsidR="00BA7929" w:rsidRPr="00706893" w:rsidRDefault="00BA7929" w:rsidP="00420E8F">
      <w:pPr>
        <w:pStyle w:val="BodyText"/>
        <w:ind w:firstLine="0"/>
        <w:jc w:val="both"/>
      </w:pPr>
      <w:r>
        <w:tab/>
        <w:t xml:space="preserve">Table </w:t>
      </w:r>
      <w:r w:rsidR="00D310D0">
        <w:t>I</w:t>
      </w:r>
      <w:r>
        <w:t xml:space="preserve"> reports the average coefficient value for each of the six market factors calculated for the entire sample, and separately for the banned and </w:t>
      </w:r>
      <w:r w:rsidR="00DB4984">
        <w:t>not-banned</w:t>
      </w:r>
      <w:r>
        <w:t xml:space="preserve"> sub-samples, </w:t>
      </w:r>
      <w:r w:rsidR="006F3E19">
        <w:t>in the pre-ban period</w:t>
      </w:r>
      <w:r>
        <w:t>.  The explanatory power</w:t>
      </w:r>
      <w:r w:rsidR="00792994">
        <w:t xml:space="preserve"> of the Fama-French and the Car</w:t>
      </w:r>
      <w:r>
        <w:t xml:space="preserve">hart momentum factors in relation to the cross-section of returns is well documented.  Thus, we undertake this comparison primarily to investigate the potential </w:t>
      </w:r>
      <w:r w:rsidR="00AD479D">
        <w:t>incremental</w:t>
      </w:r>
      <w:r>
        <w:t xml:space="preserve"> explanatory power of the </w:t>
      </w:r>
      <w:r w:rsidRPr="00DB4984">
        <w:rPr>
          <w:i/>
        </w:rPr>
        <w:t>BAN</w:t>
      </w:r>
      <w:r>
        <w:t xml:space="preserve"> and </w:t>
      </w:r>
      <w:r w:rsidRPr="00DB4984">
        <w:rPr>
          <w:i/>
        </w:rPr>
        <w:t>TARP</w:t>
      </w:r>
      <w:r>
        <w:t xml:space="preserve"> factors.  When the full sample is </w:t>
      </w:r>
      <w:r w:rsidR="00F97ABB">
        <w:t>examined</w:t>
      </w:r>
      <w:r>
        <w:t xml:space="preserve">, for both the market capitalization and short interest weighting schemes, the </w:t>
      </w:r>
      <w:r w:rsidRPr="00DB4984">
        <w:rPr>
          <w:i/>
        </w:rPr>
        <w:t>BAN</w:t>
      </w:r>
      <w:r>
        <w:t xml:space="preserve"> and </w:t>
      </w:r>
      <w:r w:rsidRPr="00DB4984">
        <w:rPr>
          <w:i/>
        </w:rPr>
        <w:t>TARP</w:t>
      </w:r>
      <w:r>
        <w:t xml:space="preserve"> factors are highly significant (p-values &lt; 0.0001, for both factors</w:t>
      </w:r>
      <w:r w:rsidR="00AD479D">
        <w:t>,</w:t>
      </w:r>
      <w:r>
        <w:t xml:space="preserve"> in both models).  When the banned and </w:t>
      </w:r>
      <w:r w:rsidR="00DB4984">
        <w:t>not-banned</w:t>
      </w:r>
      <w:r>
        <w:t xml:space="preserve"> samples are examined separately</w:t>
      </w:r>
      <w:r w:rsidR="00967F13">
        <w:t>,</w:t>
      </w:r>
      <w:r>
        <w:t xml:space="preserve"> we see slightly contrastin</w:t>
      </w:r>
      <w:r w:rsidR="00DB4984">
        <w:t>g results.  Utilizing the value-</w:t>
      </w:r>
      <w:r>
        <w:t xml:space="preserve">weighting scheme, the </w:t>
      </w:r>
      <w:r w:rsidRPr="00DB4984">
        <w:rPr>
          <w:i/>
        </w:rPr>
        <w:t>TARP</w:t>
      </w:r>
      <w:r>
        <w:t xml:space="preserve"> factor has limited additional explanatory power for the </w:t>
      </w:r>
      <w:r w:rsidR="00DB4984">
        <w:t>not-banned</w:t>
      </w:r>
      <w:r>
        <w:t xml:space="preserve"> sub-s</w:t>
      </w:r>
      <w:r w:rsidR="00AD479D">
        <w:t>ample, but the short interested-</w:t>
      </w:r>
      <w:r>
        <w:t>weighted results are consistent with the full sample.  Across all model specifications</w:t>
      </w:r>
      <w:r w:rsidR="00967F13">
        <w:t>,</w:t>
      </w:r>
      <w:r>
        <w:t xml:space="preserve"> the </w:t>
      </w:r>
      <w:r w:rsidRPr="00DB4984">
        <w:rPr>
          <w:i/>
        </w:rPr>
        <w:t>BAN</w:t>
      </w:r>
      <w:r>
        <w:t xml:space="preserve"> factor has significant </w:t>
      </w:r>
      <w:r w:rsidR="00AD479D">
        <w:t>incremental</w:t>
      </w:r>
      <w:r>
        <w:t xml:space="preserve"> power beyond the typical four factor model to explain the cross-section of stock returns.  </w:t>
      </w:r>
    </w:p>
    <w:p w:rsidR="00BA7929" w:rsidRPr="00706893" w:rsidRDefault="00BA7929" w:rsidP="00420E8F">
      <w:pPr>
        <w:pStyle w:val="BodyText"/>
        <w:jc w:val="both"/>
      </w:pPr>
      <w:r w:rsidRPr="00706893">
        <w:t>In the second stage, we estimate a cross-sectional return model for each day in the sample period utilizing the market-based risk factor loadings from the first stage as regressors.  In addition, we also include three stock characteristics</w:t>
      </w:r>
      <w:r w:rsidR="001D33BA">
        <w:t xml:space="preserve"> (</w:t>
      </w:r>
      <w:r w:rsidRPr="00706893">
        <w:t>inverse price, turnover, and vo</w:t>
      </w:r>
      <w:r w:rsidR="001D33BA">
        <w:t xml:space="preserve">latility) </w:t>
      </w:r>
      <w:r w:rsidRPr="00706893">
        <w:t>to better identify how stock prices varied in the cross-section.</w:t>
      </w:r>
      <w:r w:rsidRPr="00706893">
        <w:rPr>
          <w:rStyle w:val="FootnoteReference"/>
        </w:rPr>
        <w:footnoteReference w:id="10"/>
      </w:r>
      <w:r w:rsidRPr="00706893">
        <w:t xml:space="preserve">  Our cross-sectional model is given by: </w:t>
      </w:r>
    </w:p>
    <w:p w:rsidR="00BA7929" w:rsidRPr="00706893" w:rsidRDefault="00BA7929" w:rsidP="00651D74">
      <w:pPr>
        <w:pStyle w:val="BodyText"/>
        <w:tabs>
          <w:tab w:val="right" w:pos="8910"/>
        </w:tabs>
      </w:pPr>
      <w:r w:rsidRPr="00706893">
        <w:rPr>
          <w:position w:val="-32"/>
        </w:rPr>
        <w:t xml:space="preserve">                </w:t>
      </w:r>
      <w:r>
        <w:rPr>
          <w:position w:val="-32"/>
        </w:rPr>
        <w:t xml:space="preserve">        </w:t>
      </w:r>
      <w:r w:rsidRPr="00706893">
        <w:rPr>
          <w:position w:val="-32"/>
        </w:rPr>
        <w:t xml:space="preserve"> </w:t>
      </w:r>
      <w:r w:rsidRPr="00EF1DE8">
        <w:rPr>
          <w:position w:val="-32"/>
        </w:rPr>
        <w:object w:dxaOrig="4900" w:dyaOrig="760">
          <v:shape id="_x0000_i1026" type="#_x0000_t75" style="width:232.8pt;height:36pt" o:ole="">
            <v:imagedata r:id="rId12" o:title=""/>
          </v:shape>
          <o:OLEObject Type="Embed" ProgID="Equation.DSMT4" ShapeID="_x0000_i1026" DrawAspect="Content" ObjectID="_1420024367" r:id="rId13"/>
        </w:object>
      </w:r>
      <w:r w:rsidRPr="00706893">
        <w:rPr>
          <w:position w:val="-32"/>
        </w:rPr>
        <w:t xml:space="preserve">                  </w:t>
      </w:r>
      <w:r>
        <w:rPr>
          <w:position w:val="-32"/>
        </w:rPr>
        <w:t xml:space="preserve"> </w:t>
      </w:r>
      <w:r w:rsidRPr="00706893">
        <w:rPr>
          <w:position w:val="-32"/>
        </w:rPr>
        <w:t xml:space="preserve">   </w:t>
      </w:r>
      <w:r w:rsidRPr="00706893">
        <w:tab/>
      </w:r>
      <w:r>
        <w:t xml:space="preserve">              </w:t>
      </w:r>
      <w:r w:rsidRPr="00706893">
        <w:t>(2)</w:t>
      </w:r>
    </w:p>
    <w:p w:rsidR="00BA7929" w:rsidRPr="00706893" w:rsidRDefault="00BA7929" w:rsidP="00420E8F">
      <w:pPr>
        <w:pStyle w:val="BodyText"/>
        <w:ind w:firstLine="0"/>
        <w:jc w:val="both"/>
      </w:pPr>
      <w:r w:rsidRPr="00706893">
        <w:t xml:space="preserve">where </w:t>
      </w:r>
      <w:r w:rsidRPr="00706893">
        <w:rPr>
          <w:i/>
        </w:rPr>
        <w:t>r</w:t>
      </w:r>
      <w:r w:rsidRPr="00706893">
        <w:rPr>
          <w:i/>
          <w:vertAlign w:val="subscript"/>
        </w:rPr>
        <w:t>i,t</w:t>
      </w:r>
      <w:r w:rsidRPr="00706893">
        <w:t xml:space="preserve"> and </w:t>
      </w:r>
      <w:r w:rsidRPr="00706893">
        <w:rPr>
          <w:i/>
        </w:rPr>
        <w:t>β</w:t>
      </w:r>
      <w:r w:rsidRPr="00706893">
        <w:rPr>
          <w:i/>
          <w:vertAlign w:val="subscript"/>
        </w:rPr>
        <w:t>1</w:t>
      </w:r>
      <w:r w:rsidRPr="00706893">
        <w:t xml:space="preserve"> through </w:t>
      </w:r>
      <w:r w:rsidRPr="00706893">
        <w:rPr>
          <w:i/>
        </w:rPr>
        <w:t>β</w:t>
      </w:r>
      <w:r w:rsidRPr="00706893">
        <w:rPr>
          <w:i/>
          <w:vertAlign w:val="subscript"/>
        </w:rPr>
        <w:t>6</w:t>
      </w:r>
      <w:r w:rsidRPr="00706893">
        <w:t xml:space="preserve"> are as described above and </w:t>
      </w:r>
      <w:r w:rsidRPr="00706893">
        <w:rPr>
          <w:i/>
        </w:rPr>
        <w:t>InvP</w:t>
      </w:r>
      <w:r w:rsidRPr="00706893">
        <w:t xml:space="preserve"> is the daily inverse price, </w:t>
      </w:r>
      <w:r w:rsidRPr="00706893">
        <w:rPr>
          <w:i/>
        </w:rPr>
        <w:t>TURN</w:t>
      </w:r>
      <w:r w:rsidRPr="00706893">
        <w:t xml:space="preserve"> is aggregate trading volume over the previous </w:t>
      </w:r>
      <w:r w:rsidR="00F03ADE">
        <w:t>10</w:t>
      </w:r>
      <w:r w:rsidR="00F03ADE" w:rsidRPr="00706893">
        <w:t xml:space="preserve"> </w:t>
      </w:r>
      <w:r w:rsidRPr="00706893">
        <w:t xml:space="preserve">trading days divided by shares outstanding, and </w:t>
      </w:r>
      <w:r w:rsidRPr="00706893">
        <w:rPr>
          <w:i/>
        </w:rPr>
        <w:t>VOLAT</w:t>
      </w:r>
      <w:r w:rsidRPr="00706893">
        <w:t xml:space="preserve"> is the root mean squared return over the previous </w:t>
      </w:r>
      <w:r w:rsidR="00DB4984">
        <w:t>10</w:t>
      </w:r>
      <w:r w:rsidRPr="00706893">
        <w:t xml:space="preserve"> trading days.</w:t>
      </w:r>
      <w:r>
        <w:t xml:space="preserve">  As in the first stage, we calculate the average coefficient values for the three additional factors included in the second stage (InvP, TURN and VOLAT).  Across the various model specifications, p-values are typically &lt;0.0001, 0.10 and &gt;0.20 for InvP, TURN and VOLAT, respectively.  This analysis suggests that InvP and TURN have </w:t>
      </w:r>
      <w:r w:rsidR="00AD479D">
        <w:t>incremental</w:t>
      </w:r>
      <w:r>
        <w:t xml:space="preserve"> explanatory power within the model but the incremental improvement in the model via the addition of VOLAT may be limited. </w:t>
      </w:r>
      <w:r w:rsidRPr="00706893">
        <w:t xml:space="preserve"> </w:t>
      </w:r>
      <w:r>
        <w:t xml:space="preserve">We discuss the predictive accuracy of each of the different model variants in greater detail </w:t>
      </w:r>
      <w:r w:rsidR="0012008D">
        <w:t>below</w:t>
      </w:r>
      <w:r>
        <w:t>.</w:t>
      </w:r>
      <w:r w:rsidRPr="00706893">
        <w:t xml:space="preserve"> </w:t>
      </w:r>
    </w:p>
    <w:p w:rsidR="00BA7929" w:rsidRDefault="0012008D" w:rsidP="00420E8F">
      <w:pPr>
        <w:pStyle w:val="BodyText"/>
        <w:jc w:val="both"/>
        <w:rPr>
          <w:rFonts w:eastAsia="MS Mincho"/>
        </w:rPr>
      </w:pPr>
      <w:r>
        <w:t>We estimate the</w:t>
      </w:r>
      <w:r w:rsidR="00BA7929" w:rsidRPr="00706893">
        <w:t xml:space="preserve"> factor model using only the </w:t>
      </w:r>
      <w:r w:rsidR="00DB4984">
        <w:t>not-banned</w:t>
      </w:r>
      <w:r w:rsidR="00BA7929" w:rsidRPr="00706893">
        <w:t xml:space="preserve"> stocks</w:t>
      </w:r>
      <w:r w:rsidR="000D0B99">
        <w:t xml:space="preserve"> as we want to capture aggregate factor loadings which would have been realized in the absence of the ban</w:t>
      </w:r>
      <w:r w:rsidR="00BA7929" w:rsidRPr="00706893">
        <w:t xml:space="preserve">.  </w:t>
      </w:r>
      <w:r w:rsidR="00BA7929" w:rsidRPr="00706893">
        <w:rPr>
          <w:rFonts w:eastAsia="MS Mincho"/>
        </w:rPr>
        <w:t xml:space="preserve">We weight the cross-sectional model by value (market capitalization) to give greater weight to stocks </w:t>
      </w:r>
      <w:r w:rsidR="00AD479D">
        <w:rPr>
          <w:rFonts w:eastAsia="MS Mincho"/>
        </w:rPr>
        <w:t xml:space="preserve">for </w:t>
      </w:r>
      <w:r w:rsidR="00BA7929" w:rsidRPr="00706893">
        <w:rPr>
          <w:rFonts w:eastAsia="MS Mincho"/>
        </w:rPr>
        <w:t xml:space="preserve">which we believe market prices are most accurate and which are economically most significant.  </w:t>
      </w:r>
      <w:r w:rsidR="00BA7929" w:rsidRPr="00706893">
        <w:t xml:space="preserve">The coefficients are estimates of the realized factor returns associated with each of the regressors, based only on information in the returns to the </w:t>
      </w:r>
      <w:r w:rsidR="00DB4984">
        <w:t>not-banned</w:t>
      </w:r>
      <w:r w:rsidR="00BA7929" w:rsidRPr="00706893">
        <w:t xml:space="preserve"> stocks.  W</w:t>
      </w:r>
      <w:r w:rsidR="00BA7929" w:rsidRPr="00706893">
        <w:rPr>
          <w:rFonts w:eastAsia="MS Mincho"/>
        </w:rPr>
        <w:t xml:space="preserve">e then use these factor estimates to obtain predicted daily returns for the banned stocks based upon their cross-sectional characteristics.  Finally, we aggregate the daily return estimates for each banned stock to produce a value-weighted index of the prices that we estimate would have been observed </w:t>
      </w:r>
      <w:r>
        <w:rPr>
          <w:rFonts w:eastAsia="MS Mincho"/>
        </w:rPr>
        <w:t>in the absence of the short-sale ban</w:t>
      </w:r>
      <w:r w:rsidR="00BA7929" w:rsidRPr="00706893">
        <w:rPr>
          <w:rFonts w:eastAsia="MS Mincho"/>
        </w:rPr>
        <w:t xml:space="preserve">. </w:t>
      </w:r>
    </w:p>
    <w:p w:rsidR="00AD479D" w:rsidRDefault="00AD479D" w:rsidP="00420E8F">
      <w:pPr>
        <w:pStyle w:val="BodyText"/>
        <w:jc w:val="both"/>
        <w:rPr>
          <w:rFonts w:eastAsia="MS Mincho"/>
        </w:rPr>
      </w:pPr>
    </w:p>
    <w:p w:rsidR="000D0B99" w:rsidRDefault="000D0B99" w:rsidP="00AC7EB4">
      <w:pPr>
        <w:pStyle w:val="Heading1"/>
        <w:numPr>
          <w:ilvl w:val="0"/>
          <w:numId w:val="2"/>
        </w:numPr>
        <w:jc w:val="both"/>
        <w:rPr>
          <w:rFonts w:ascii="Times New Roman" w:hAnsi="Times New Roman" w:cs="Times New Roman"/>
          <w:sz w:val="24"/>
          <w:szCs w:val="24"/>
        </w:rPr>
      </w:pPr>
      <w:r>
        <w:rPr>
          <w:rFonts w:ascii="Times New Roman" w:hAnsi="Times New Roman" w:cs="Times New Roman"/>
          <w:sz w:val="24"/>
          <w:szCs w:val="24"/>
        </w:rPr>
        <w:t>Model Validation and Endogeneity Controls</w:t>
      </w:r>
    </w:p>
    <w:p w:rsidR="0012008D" w:rsidRPr="0012008D" w:rsidRDefault="0012008D" w:rsidP="00AC7EB4">
      <w:pPr>
        <w:jc w:val="both"/>
      </w:pPr>
    </w:p>
    <w:p w:rsidR="00BA7929" w:rsidRPr="00BA7929" w:rsidRDefault="000D0B99" w:rsidP="00420E8F">
      <w:pPr>
        <w:pStyle w:val="BodyText"/>
        <w:ind w:firstLine="0"/>
        <w:jc w:val="both"/>
        <w:rPr>
          <w:rFonts w:eastAsia="MS Mincho"/>
          <w:i/>
        </w:rPr>
      </w:pPr>
      <w:r>
        <w:rPr>
          <w:rFonts w:eastAsia="MS Mincho"/>
          <w:i/>
        </w:rPr>
        <w:t>5</w:t>
      </w:r>
      <w:r w:rsidR="00BA7929" w:rsidRPr="00BA7929">
        <w:rPr>
          <w:rFonts w:eastAsia="MS Mincho"/>
          <w:i/>
        </w:rPr>
        <w:t>.1</w:t>
      </w:r>
      <w:r w:rsidR="00AD479D">
        <w:rPr>
          <w:rFonts w:eastAsia="MS Mincho"/>
          <w:i/>
        </w:rPr>
        <w:t>.</w:t>
      </w:r>
      <w:r w:rsidR="009C785B">
        <w:rPr>
          <w:rFonts w:eastAsia="MS Mincho"/>
          <w:i/>
        </w:rPr>
        <w:t xml:space="preserve"> </w:t>
      </w:r>
      <w:r>
        <w:rPr>
          <w:rFonts w:eastAsia="MS Mincho"/>
          <w:i/>
        </w:rPr>
        <w:t>Model Suitability and Stability</w:t>
      </w:r>
    </w:p>
    <w:p w:rsidR="000D0B99" w:rsidRDefault="000D0B99" w:rsidP="00420E8F">
      <w:pPr>
        <w:pStyle w:val="BodyText"/>
        <w:jc w:val="both"/>
        <w:rPr>
          <w:rFonts w:eastAsia="MS Mincho"/>
        </w:rPr>
      </w:pPr>
      <w:r>
        <w:rPr>
          <w:rFonts w:eastAsia="MS Mincho"/>
        </w:rPr>
        <w:t xml:space="preserve">As previously discussed, the factor-analytic model has two potential limitations.  First, </w:t>
      </w:r>
      <w:r w:rsidRPr="00DB4984">
        <w:rPr>
          <w:i/>
        </w:rPr>
        <w:t>in aggregate</w:t>
      </w:r>
      <w:r>
        <w:t xml:space="preserve">, the factor betas we estimate in the first stage must be reasonably consistent over the timeframe of analysis.  Second, although the magnitude of factor sensitivity may </w:t>
      </w:r>
      <w:r w:rsidR="0082360C">
        <w:t>vary between the banned and not-</w:t>
      </w:r>
      <w:r>
        <w:t>banned samples, the sensitivities must be a linear extension of each other.  We address both of these concerns by conducting model validation tests before and after the ban.  As the ban was unexpected, the pre-ban period provides an unbiased timeframe to validate overall model accuracy.  We then contrast model accuracy before and after th</w:t>
      </w:r>
      <w:r w:rsidR="004C19D4">
        <w:t xml:space="preserve">e ban to ensure that the factor betas we estimate in the pre-ban period, in aggregate, are still representative in the post-ban period. </w:t>
      </w:r>
    </w:p>
    <w:p w:rsidR="00BA7929" w:rsidRPr="00706893" w:rsidRDefault="00BA7929" w:rsidP="00420E8F">
      <w:pPr>
        <w:pStyle w:val="BodyText"/>
        <w:jc w:val="both"/>
        <w:rPr>
          <w:rFonts w:eastAsia="MS Mincho"/>
        </w:rPr>
      </w:pPr>
      <w:r w:rsidRPr="00706893">
        <w:rPr>
          <w:rFonts w:eastAsia="MS Mincho"/>
        </w:rPr>
        <w:t xml:space="preserve">We use three methods to measure predictive accuracy:  (1) the correlation between estimated and actual mean returns, (2) paired </w:t>
      </w:r>
      <w:r w:rsidRPr="00AC7EB4">
        <w:rPr>
          <w:rFonts w:eastAsia="MS Mincho"/>
          <w:i/>
        </w:rPr>
        <w:t>t</w:t>
      </w:r>
      <w:r w:rsidRPr="00706893">
        <w:rPr>
          <w:rFonts w:eastAsia="MS Mincho"/>
        </w:rPr>
        <w:t xml:space="preserve">-tests between mean estimated and actual daily returns, and (3) the correlation between actual factor return values and those estimated with </w:t>
      </w:r>
      <w:r w:rsidR="005E15E5">
        <w:rPr>
          <w:rFonts w:eastAsia="MS Mincho"/>
        </w:rPr>
        <w:t>e</w:t>
      </w:r>
      <w:r w:rsidRPr="00706893">
        <w:rPr>
          <w:rFonts w:eastAsia="MS Mincho"/>
        </w:rPr>
        <w:t xml:space="preserve">quation </w:t>
      </w:r>
      <w:r w:rsidR="00FF0C0B">
        <w:rPr>
          <w:rFonts w:eastAsia="MS Mincho"/>
        </w:rPr>
        <w:t>(</w:t>
      </w:r>
      <w:r w:rsidRPr="00706893">
        <w:rPr>
          <w:rFonts w:eastAsia="MS Mincho"/>
        </w:rPr>
        <w:t>2</w:t>
      </w:r>
      <w:r w:rsidR="00FF0C0B">
        <w:rPr>
          <w:rFonts w:eastAsia="MS Mincho"/>
        </w:rPr>
        <w:t>)</w:t>
      </w:r>
      <w:r w:rsidRPr="00706893">
        <w:rPr>
          <w:rFonts w:eastAsia="MS Mincho"/>
        </w:rPr>
        <w:t>.  We examine these measures for</w:t>
      </w:r>
      <w:r w:rsidR="00492EBF">
        <w:rPr>
          <w:rFonts w:eastAsia="MS Mincho"/>
        </w:rPr>
        <w:t xml:space="preserve"> </w:t>
      </w:r>
      <w:r w:rsidRPr="00706893">
        <w:rPr>
          <w:rFonts w:eastAsia="MS Mincho"/>
        </w:rPr>
        <w:t>four different specifications of our basic model</w:t>
      </w:r>
      <w:r w:rsidR="0012008D">
        <w:rPr>
          <w:rFonts w:eastAsia="MS Mincho"/>
        </w:rPr>
        <w:t xml:space="preserve">, varying exclusion and inclusion of the HML, SMB and MOM factors and the three stock characteristics </w:t>
      </w:r>
      <w:r w:rsidR="0012008D">
        <w:t xml:space="preserve">(InvP, TURN and VOLAT).  </w:t>
      </w:r>
      <w:r w:rsidRPr="00706893">
        <w:rPr>
          <w:rFonts w:eastAsia="MS Mincho"/>
        </w:rPr>
        <w:t xml:space="preserve">We considered different specifications to determine to what extent our results depend on our assumptions, and to try to find a parsimonious model that could accurately estimate stock returns in the absence of the short-sale ban.  For those cross-sectional models that only use three return factors, we obtained their factor loadings from time-series regressions that included only those three factors. </w:t>
      </w:r>
    </w:p>
    <w:p w:rsidR="00BA7929" w:rsidRPr="00706893" w:rsidRDefault="00492EBF" w:rsidP="00420E8F">
      <w:pPr>
        <w:pStyle w:val="BodyText"/>
        <w:jc w:val="both"/>
      </w:pPr>
      <w:r>
        <w:rPr>
          <w:rFonts w:eastAsia="MS Mincho"/>
        </w:rPr>
        <w:t>B</w:t>
      </w:r>
      <w:r w:rsidRPr="00706893">
        <w:rPr>
          <w:rFonts w:eastAsia="MS Mincho"/>
        </w:rPr>
        <w:t>ased on our three accuracy measures (Table I</w:t>
      </w:r>
      <w:r>
        <w:rPr>
          <w:rFonts w:eastAsia="MS Mincho"/>
        </w:rPr>
        <w:t>I)</w:t>
      </w:r>
      <w:r w:rsidR="009F6DE9">
        <w:rPr>
          <w:rFonts w:eastAsia="MS Mincho"/>
        </w:rPr>
        <w:t>,</w:t>
      </w:r>
      <w:r w:rsidR="000845DB">
        <w:rPr>
          <w:rFonts w:eastAsia="MS Mincho"/>
        </w:rPr>
        <w:t xml:space="preserve"> </w:t>
      </w:r>
      <w:r>
        <w:rPr>
          <w:rFonts w:eastAsia="MS Mincho"/>
        </w:rPr>
        <w:t>a</w:t>
      </w:r>
      <w:r w:rsidR="00BA7929" w:rsidRPr="00706893">
        <w:rPr>
          <w:rFonts w:eastAsia="MS Mincho"/>
        </w:rPr>
        <w:t xml:space="preserve">ll four models perform </w:t>
      </w:r>
      <w:r w:rsidR="004C19D4">
        <w:rPr>
          <w:rFonts w:eastAsia="MS Mincho"/>
        </w:rPr>
        <w:t xml:space="preserve">very </w:t>
      </w:r>
      <w:r w:rsidR="00BA7929" w:rsidRPr="00706893">
        <w:rPr>
          <w:rFonts w:eastAsia="MS Mincho"/>
        </w:rPr>
        <w:t>well</w:t>
      </w:r>
      <w:r w:rsidR="000845DB">
        <w:rPr>
          <w:rFonts w:eastAsia="MS Mincho"/>
        </w:rPr>
        <w:t xml:space="preserve">. </w:t>
      </w:r>
      <w:r w:rsidR="00BA7929" w:rsidRPr="00706893">
        <w:rPr>
          <w:rFonts w:eastAsia="MS Mincho"/>
        </w:rPr>
        <w:t xml:space="preserve"> </w:t>
      </w:r>
      <w:r w:rsidR="0012008D">
        <w:rPr>
          <w:rFonts w:eastAsia="MS Mincho"/>
        </w:rPr>
        <w:t>In the pre-ban period</w:t>
      </w:r>
      <w:r w:rsidR="00BA7929" w:rsidRPr="00706893">
        <w:rPr>
          <w:rFonts w:eastAsia="MS Mincho"/>
        </w:rPr>
        <w:t xml:space="preserve">, the correlation between the actual and estimated daily value-weighted banned stock index returns (based </w:t>
      </w:r>
      <w:r w:rsidR="000845DB">
        <w:rPr>
          <w:rFonts w:eastAsia="MS Mincho"/>
        </w:rPr>
        <w:t xml:space="preserve">on </w:t>
      </w:r>
      <w:r w:rsidR="00BA7929" w:rsidRPr="00706893">
        <w:rPr>
          <w:rFonts w:eastAsia="MS Mincho"/>
        </w:rPr>
        <w:t xml:space="preserve">the factor returns implied from the </w:t>
      </w:r>
      <w:r w:rsidR="00DB4984">
        <w:rPr>
          <w:rFonts w:eastAsia="MS Mincho"/>
        </w:rPr>
        <w:t>not-banned</w:t>
      </w:r>
      <w:r w:rsidR="00BA7929" w:rsidRPr="00706893">
        <w:rPr>
          <w:rFonts w:eastAsia="MS Mincho"/>
        </w:rPr>
        <w:t xml:space="preserve"> stocks) is above 0.92 for the two models with three return factors and </w:t>
      </w:r>
      <w:r w:rsidR="000845DB">
        <w:rPr>
          <w:rFonts w:eastAsia="MS Mincho"/>
        </w:rPr>
        <w:t xml:space="preserve">is </w:t>
      </w:r>
      <w:r w:rsidR="00BA7929" w:rsidRPr="00706893">
        <w:rPr>
          <w:rFonts w:eastAsia="MS Mincho"/>
        </w:rPr>
        <w:t>above 0.98 for the two models with six return factors.  I</w:t>
      </w:r>
      <w:r w:rsidR="00BA7929" w:rsidRPr="00706893">
        <w:t>nclusion of the three stock characteristics does not appreciably increase these correlations.  The means of the daily actual and estimated banned stock index returns in the pre-ban period are statistically indistinguishable for all four model specifications (</w:t>
      </w:r>
      <w:r w:rsidR="00BA7929" w:rsidRPr="00AC7EB4">
        <w:rPr>
          <w:i/>
        </w:rPr>
        <w:t>t</w:t>
      </w:r>
      <w:r w:rsidR="00BA7929" w:rsidRPr="00706893">
        <w:t xml:space="preserve">-statistics for the paired </w:t>
      </w:r>
      <w:r w:rsidR="00BA7929" w:rsidRPr="00AC7EB4">
        <w:rPr>
          <w:i/>
        </w:rPr>
        <w:t>t</w:t>
      </w:r>
      <w:r w:rsidR="00BA7929" w:rsidRPr="00706893">
        <w:t xml:space="preserve">-test range from 0.06 to 0.47).  These results indicate that our methods are not producing significant drift in the return estimates that would bias our return inflation estimates.  </w:t>
      </w:r>
    </w:p>
    <w:p w:rsidR="00BA7929" w:rsidRPr="00706893" w:rsidRDefault="00BA7929" w:rsidP="00420E8F">
      <w:pPr>
        <w:spacing w:line="480" w:lineRule="auto"/>
        <w:ind w:firstLine="720"/>
        <w:jc w:val="both"/>
      </w:pPr>
      <w:r w:rsidRPr="00706893">
        <w:t>Panel B of Table I</w:t>
      </w:r>
      <w:r>
        <w:t>I</w:t>
      </w:r>
      <w:r w:rsidRPr="00706893">
        <w:t xml:space="preserve"> presents correlations between the daily estimates of the six return factors and their corresponding actual factor values.</w:t>
      </w:r>
      <w:r w:rsidRPr="00706893">
        <w:rPr>
          <w:rStyle w:val="FootnoteReference"/>
        </w:rPr>
        <w:footnoteReference w:id="11"/>
      </w:r>
      <w:r w:rsidRPr="00706893">
        <w:t xml:space="preserve">  These correlations are all above </w:t>
      </w:r>
      <w:smartTag w:uri="urn:schemas-microsoft-com:office:smarttags" w:element="metricconverter">
        <w:smartTagPr>
          <w:attr w:name="ProductID" w:val="0.90 in"/>
        </w:smartTagPr>
        <w:r w:rsidRPr="00706893">
          <w:t>0.90 in</w:t>
        </w:r>
      </w:smartTag>
      <w:r w:rsidRPr="00706893">
        <w:t xml:space="preserve"> the pre-ban period, with </w:t>
      </w:r>
      <w:r w:rsidR="0012008D">
        <w:t xml:space="preserve">correlations for </w:t>
      </w:r>
      <w:r w:rsidRPr="00706893">
        <w:t xml:space="preserve">the most critical factors (market, banned stock index, and TARP) all above 0.96 </w:t>
      </w:r>
      <w:r w:rsidR="00FF0C0B">
        <w:t>in</w:t>
      </w:r>
      <w:r w:rsidRPr="00706893">
        <w:t xml:space="preserve"> the six return factor models.  The correlations are lower for the three factor models, which suggest that the additiona</w:t>
      </w:r>
      <w:r w:rsidR="0012008D">
        <w:t>l factor structure increases</w:t>
      </w:r>
      <w:r w:rsidRPr="00706893">
        <w:t xml:space="preserve"> estimation accuracy.  The addition of the three stock characteristic factors does</w:t>
      </w:r>
      <w:r w:rsidR="00FE10F4">
        <w:t xml:space="preserve"> no</w:t>
      </w:r>
      <w:r w:rsidRPr="00706893">
        <w:t>t appreciably affect the estimation of the return factor values, most probably because they conve</w:t>
      </w:r>
      <w:r w:rsidR="0012008D">
        <w:t>y orthogonal information.  The</w:t>
      </w:r>
      <w:r w:rsidR="00FF0C0B">
        <w:t xml:space="preserve"> correlations are all lower (</w:t>
      </w:r>
      <w:r w:rsidRPr="00706893">
        <w:t>th</w:t>
      </w:r>
      <w:r w:rsidR="00FF0C0B">
        <w:t xml:space="preserve">ough still generally quite high) </w:t>
      </w:r>
      <w:r w:rsidRPr="00706893">
        <w:t>in the post-ban period, probably due to greater volatility and possibly</w:t>
      </w:r>
      <w:r w:rsidR="00E956B3">
        <w:t xml:space="preserve"> due</w:t>
      </w:r>
      <w:r w:rsidRPr="00706893">
        <w:t xml:space="preserve"> to the smaller sample period. </w:t>
      </w:r>
    </w:p>
    <w:p w:rsidR="00BA7929" w:rsidRPr="00706893" w:rsidRDefault="00BA7929" w:rsidP="00420E8F">
      <w:pPr>
        <w:pStyle w:val="BodyText"/>
        <w:jc w:val="both"/>
      </w:pPr>
      <w:r w:rsidRPr="00706893">
        <w:t xml:space="preserve">The evidence from these analyses suggests that the six return, three stock characteristic factor model (as described in </w:t>
      </w:r>
      <w:r>
        <w:t>(</w:t>
      </w:r>
      <w:r w:rsidRPr="00706893">
        <w:t>1</w:t>
      </w:r>
      <w:r>
        <w:t>)</w:t>
      </w:r>
      <w:r w:rsidRPr="00706893">
        <w:t xml:space="preserve"> and </w:t>
      </w:r>
      <w:r>
        <w:t>(</w:t>
      </w:r>
      <w:r w:rsidRPr="00706893">
        <w:t>2</w:t>
      </w:r>
      <w:r>
        <w:t>)</w:t>
      </w:r>
      <w:r w:rsidRPr="00706893">
        <w:t>) is the most accurate model of the four model</w:t>
      </w:r>
      <w:r w:rsidR="00E956B3">
        <w:t xml:space="preserve">s we </w:t>
      </w:r>
      <w:r w:rsidR="000845DB">
        <w:t xml:space="preserve">examine </w:t>
      </w:r>
      <w:r w:rsidR="00E956B3">
        <w:t>and we therefore rely on it in the remainder of this paper.</w:t>
      </w:r>
      <w:r w:rsidRPr="00706893">
        <w:rPr>
          <w:rStyle w:val="FootnoteReference"/>
        </w:rPr>
        <w:footnoteReference w:id="12"/>
      </w:r>
      <w:r w:rsidRPr="00706893">
        <w:t xml:space="preserve">  </w:t>
      </w:r>
      <w:r w:rsidRPr="00706893">
        <w:rPr>
          <w:rFonts w:eastAsia="MS Mincho"/>
        </w:rPr>
        <w:t xml:space="preserve">Visual evidence </w:t>
      </w:r>
      <w:r w:rsidRPr="00706893">
        <w:t xml:space="preserve">of the high correlation between the actual and estimated banned index returns appears in Figure 3, which plots cumulatives of the actual </w:t>
      </w:r>
      <w:r w:rsidR="00FF0C0B">
        <w:t>and</w:t>
      </w:r>
      <w:r w:rsidRPr="00706893">
        <w:t xml:space="preserve"> estimated index </w:t>
      </w:r>
      <w:r w:rsidR="0012008D">
        <w:t>over the pre-ban period</w:t>
      </w:r>
      <w:r w:rsidRPr="00706893">
        <w:t xml:space="preserve">.  </w:t>
      </w:r>
    </w:p>
    <w:p w:rsidR="004C19D4" w:rsidRDefault="00BA7929" w:rsidP="00420E8F">
      <w:pPr>
        <w:pStyle w:val="BodyText"/>
        <w:jc w:val="both"/>
      </w:pPr>
      <w:r w:rsidRPr="00706893">
        <w:t xml:space="preserve">The root mean squared difference between the actual and estimated banned stock index returns in the year before the ban is 0.20%, and the first order autocorrelation of these differences is 0.013.  The low serial correlation and the essentially zero mean difference documented above indicates that the predicted variance of the cumulative differences will be approximately equal to the length of the accumulation period multiplied by the mean squared difference.  We will use this result (and others) to make inferences about the significance of any inflation that we observe during and following the ban. </w:t>
      </w:r>
    </w:p>
    <w:p w:rsidR="005647AA" w:rsidRDefault="005647AA" w:rsidP="00420E8F">
      <w:pPr>
        <w:pStyle w:val="BodyText"/>
        <w:jc w:val="both"/>
      </w:pPr>
    </w:p>
    <w:p w:rsidR="00BA7929" w:rsidRPr="00BA7929" w:rsidRDefault="006374B5" w:rsidP="00420E8F">
      <w:pPr>
        <w:pStyle w:val="BodyText"/>
        <w:ind w:firstLine="0"/>
        <w:jc w:val="both"/>
        <w:rPr>
          <w:i/>
        </w:rPr>
      </w:pPr>
      <w:r>
        <w:rPr>
          <w:i/>
        </w:rPr>
        <w:t>5</w:t>
      </w:r>
      <w:r w:rsidR="00BA7929" w:rsidRPr="00BA7929">
        <w:rPr>
          <w:i/>
        </w:rPr>
        <w:t>.2</w:t>
      </w:r>
      <w:r w:rsidR="00FF0C0B">
        <w:rPr>
          <w:i/>
        </w:rPr>
        <w:t>.</w:t>
      </w:r>
      <w:r w:rsidR="00BA7929" w:rsidRPr="00BA7929">
        <w:rPr>
          <w:i/>
        </w:rPr>
        <w:t xml:space="preserve"> </w:t>
      </w:r>
      <w:r>
        <w:rPr>
          <w:i/>
        </w:rPr>
        <w:t>Endogeneity Controls</w:t>
      </w:r>
    </w:p>
    <w:p w:rsidR="006374B5" w:rsidRDefault="006374B5" w:rsidP="00420E8F">
      <w:pPr>
        <w:pStyle w:val="BodyText"/>
        <w:jc w:val="both"/>
      </w:pPr>
      <w:r>
        <w:t xml:space="preserve">It is important to recognize that our model estimates inflation relative to </w:t>
      </w:r>
      <w:r w:rsidR="009B782F">
        <w:t>the not-</w:t>
      </w:r>
      <w:r>
        <w:t>banned sample, thus only endogenous events unique to either the banned or not</w:t>
      </w:r>
      <w:r w:rsidR="004112FD">
        <w:t>-</w:t>
      </w:r>
      <w:r>
        <w:t xml:space="preserve">banned sample have the potential to bias our estimates.  Given the diversity of stocks within the not-banned sample, it is highly unlikely that a risk factor idiosyncratic to that sample exists.  </w:t>
      </w:r>
      <w:r w:rsidR="000C46E4">
        <w:t>The short-sale ban stock list was formed based on broad SIC codes</w:t>
      </w:r>
      <w:r>
        <w:t xml:space="preserve">, which mitigates the likelihood of unique, crisis based risk factors to this sub-sample (in contrast to specifically banning short-sales for stocks experiencing abnormal short pressure).  Regardless, the focus of the ban on financial sector stocks creates the risk of idiosyncratic risk influences, most prominently perhaps </w:t>
      </w:r>
      <w:r w:rsidR="000C46E4">
        <w:t xml:space="preserve">is </w:t>
      </w:r>
      <w:r>
        <w:t>TARP (which we discuss in more detail below).</w:t>
      </w:r>
    </w:p>
    <w:p w:rsidR="000C46E4" w:rsidRDefault="000C46E4" w:rsidP="00420E8F">
      <w:pPr>
        <w:pStyle w:val="BodyText"/>
        <w:jc w:val="both"/>
      </w:pPr>
      <w:r>
        <w:t>A natural endogeneity control</w:t>
      </w:r>
      <w:r w:rsidR="0082360C">
        <w:t>,</w:t>
      </w:r>
      <w:r>
        <w:t xml:space="preserve"> implicit in the model</w:t>
      </w:r>
      <w:r w:rsidR="0082360C">
        <w:t>,</w:t>
      </w:r>
      <w:r>
        <w:t xml:space="preserve"> is the unique influence of options on short-sale constraints.  As previously discussed, option market makers were exempt from the ban and investors could, in theory, circumnavigate the ban by trading put options.  In support of this hypothesis, Berber and Pegano (2011) find that ban effects on liquidity and price formation were more pronounced for stocks without traded options.  </w:t>
      </w:r>
      <w:r w:rsidR="0082360C">
        <w:t xml:space="preserve">Given that stock size, </w:t>
      </w:r>
      <w:r w:rsidR="009B782F">
        <w:t>price volatility and liquidity are direct components of our model, an alternative channel which would result in differential effects for optionable stocks (other than via short-sales) is not apparent.  As we discuss in more detail below, we find that the inflationary effects of the short-sale ban were isolated to stocks without traded options, providing an implicit validation of our model.</w:t>
      </w:r>
    </w:p>
    <w:p w:rsidR="00BA7929" w:rsidRDefault="00BA7929" w:rsidP="00420E8F">
      <w:pPr>
        <w:pStyle w:val="BodyText"/>
        <w:jc w:val="both"/>
      </w:pPr>
      <w:r>
        <w:t>O</w:t>
      </w:r>
      <w:r w:rsidRPr="00706893">
        <w:t>ur method almost certainly underestimates the difference between the actual prices and those that</w:t>
      </w:r>
      <w:r w:rsidR="00E956B3">
        <w:t xml:space="preserve"> </w:t>
      </w:r>
      <w:r w:rsidRPr="00706893">
        <w:t>would</w:t>
      </w:r>
      <w:r w:rsidR="00E956B3">
        <w:t xml:space="preserve"> likely</w:t>
      </w:r>
      <w:r w:rsidRPr="00706893">
        <w:t xml:space="preserve"> have </w:t>
      </w:r>
      <w:r w:rsidR="00E21532">
        <w:t xml:space="preserve">been </w:t>
      </w:r>
      <w:r w:rsidRPr="00706893">
        <w:t xml:space="preserve">observed in the absence of the ban.  </w:t>
      </w:r>
      <w:r w:rsidR="00E956B3">
        <w:t>We attribute this</w:t>
      </w:r>
      <w:r w:rsidRPr="00706893">
        <w:t xml:space="preserve"> underestimation</w:t>
      </w:r>
      <w:r w:rsidR="00155F2B">
        <w:t xml:space="preserve"> </w:t>
      </w:r>
      <w:r w:rsidRPr="00706893">
        <w:t>to the trading of speculators who explicitly or implicitly use factor</w:t>
      </w:r>
      <w:r w:rsidR="00155F2B">
        <w:t>-</w:t>
      </w:r>
      <w:r w:rsidRPr="00706893">
        <w:t xml:space="preserve">analytic models to identify and profit from mispricing.  In particular, if they (and other traders who trade on relative prices) observe that banned financial stocks are rising, they will buy stocks that load on factors common to the banned stocks and sell the financial stocks (if they can).  </w:t>
      </w:r>
    </w:p>
    <w:p w:rsidR="00BA7929" w:rsidRPr="00706893" w:rsidRDefault="00BA7929" w:rsidP="00420E8F">
      <w:pPr>
        <w:pStyle w:val="BodyText"/>
        <w:jc w:val="both"/>
      </w:pPr>
      <w:r w:rsidRPr="00706893">
        <w:t xml:space="preserve">The resulting price pressures will reduce the difference that we estimate between the actual prices of the banned stocks and the prices that we would have observed without the ban.  In particular, the speculators’ trading will transmit some of the price inflation associated with the ban to the other stocks, which will cause us to overestimate the common factor returns.  This issue will significantly affect the results if the speculators do not realize that the banned financial stocks may be rising relative to the other stocks because of the ban.  Any differences that we identify in our results thus will </w:t>
      </w:r>
      <w:r w:rsidR="00E21532">
        <w:t xml:space="preserve">likely </w:t>
      </w:r>
      <w:r w:rsidRPr="00706893">
        <w:t xml:space="preserve">underestimate the actual effect of the ban on market prices. </w:t>
      </w:r>
    </w:p>
    <w:p w:rsidR="009B782F" w:rsidRDefault="009B782F" w:rsidP="00420E8F">
      <w:pPr>
        <w:spacing w:line="480" w:lineRule="auto"/>
        <w:ind w:firstLine="720"/>
        <w:jc w:val="both"/>
      </w:pPr>
    </w:p>
    <w:p w:rsidR="009B782F" w:rsidRPr="009B782F" w:rsidRDefault="009B782F" w:rsidP="00420E8F">
      <w:pPr>
        <w:spacing w:line="480" w:lineRule="auto"/>
        <w:jc w:val="both"/>
        <w:rPr>
          <w:i/>
        </w:rPr>
      </w:pPr>
      <w:r w:rsidRPr="009B782F">
        <w:rPr>
          <w:i/>
        </w:rPr>
        <w:t xml:space="preserve">5.3 </w:t>
      </w:r>
      <w:r>
        <w:rPr>
          <w:i/>
        </w:rPr>
        <w:t xml:space="preserve">Potential Bias from </w:t>
      </w:r>
      <w:r w:rsidRPr="009B782F">
        <w:rPr>
          <w:i/>
        </w:rPr>
        <w:t>TARP</w:t>
      </w:r>
    </w:p>
    <w:p w:rsidR="00AD5C92" w:rsidRDefault="00BB5AEB" w:rsidP="00420E8F">
      <w:pPr>
        <w:spacing w:line="480" w:lineRule="auto"/>
        <w:ind w:firstLine="720"/>
        <w:jc w:val="both"/>
      </w:pPr>
      <w:r>
        <w:t>O</w:t>
      </w:r>
      <w:r w:rsidR="00BA7929">
        <w:t>ther factors</w:t>
      </w:r>
      <w:r w:rsidR="00E21532">
        <w:t>,</w:t>
      </w:r>
      <w:r w:rsidR="00BA7929">
        <w:t xml:space="preserve"> not fully considered in the model</w:t>
      </w:r>
      <w:r w:rsidR="00E21532">
        <w:t>,</w:t>
      </w:r>
      <w:r w:rsidR="00BA7929">
        <w:t xml:space="preserve"> may </w:t>
      </w:r>
      <w:r>
        <w:t xml:space="preserve">also </w:t>
      </w:r>
      <w:r w:rsidR="00BA7929">
        <w:t>affect the banned sample.  Foremost</w:t>
      </w:r>
      <w:r w:rsidR="001F1056">
        <w:t>,</w:t>
      </w:r>
      <w:r w:rsidR="00BA7929">
        <w:t xml:space="preserve"> </w:t>
      </w:r>
      <w:r w:rsidR="001F1056">
        <w:t>p</w:t>
      </w:r>
      <w:r w:rsidR="00BA7929">
        <w:t>erhaps</w:t>
      </w:r>
      <w:r w:rsidR="001F1056">
        <w:t>,</w:t>
      </w:r>
      <w:r w:rsidR="00BA7929">
        <w:t xml:space="preserve"> is the TARP legislation which was being debated in Congress at the time of the ban.  </w:t>
      </w:r>
      <w:r w:rsidR="00AD5C92">
        <w:t>TARP legislation had two potential effects</w:t>
      </w:r>
      <w:r w:rsidR="00E21532">
        <w:t>.  F</w:t>
      </w:r>
      <w:r w:rsidR="00AD5C92">
        <w:t xml:space="preserve">irst, capital infusions into the banking sector would </w:t>
      </w:r>
      <w:r w:rsidR="00E21532">
        <w:t xml:space="preserve">likely </w:t>
      </w:r>
      <w:r w:rsidR="00AD5C92">
        <w:t>stabilize that sector w</w:t>
      </w:r>
      <w:r w:rsidR="001F1056">
        <w:t>ith market-</w:t>
      </w:r>
      <w:r w:rsidR="00AD5C92">
        <w:t>wide, broad influences of greater magnitude for financial stocks.  As previously discussed, as long as the TARP factor loads in both samples and the factor magnitude maps linearly between the samples</w:t>
      </w:r>
      <w:r w:rsidR="001F1056">
        <w:t>,</w:t>
      </w:r>
      <w:r w:rsidR="00AD5C92">
        <w:t xml:space="preserve"> then our model </w:t>
      </w:r>
      <w:r w:rsidR="000F69DE">
        <w:t>should</w:t>
      </w:r>
      <w:r w:rsidR="00AD5C92">
        <w:t xml:space="preserve"> accurately control for TARP broad market effects.  As shown in Table I, the TARP factor does indeed load in both samples, and given that TARP announcements occurred both during and after the ban, the consistency in the accuracy of the model in the post-ban period suggests the assumption of linear map</w:t>
      </w:r>
      <w:r w:rsidR="00E21532">
        <w:t>pings</w:t>
      </w:r>
      <w:r w:rsidR="00AD5C92">
        <w:t xml:space="preserve"> in factor magnitudes is also reasonable.  If it were not, a significant decline in model accuracy in the post-ban period would result.  </w:t>
      </w:r>
    </w:p>
    <w:p w:rsidR="00BA7929" w:rsidRDefault="00AD5C92" w:rsidP="00420E8F">
      <w:pPr>
        <w:spacing w:line="480" w:lineRule="auto"/>
        <w:ind w:firstLine="720"/>
        <w:jc w:val="both"/>
      </w:pPr>
      <w:r>
        <w:t>Second, investors may have speculated on specific firms which would receive TARP funding and</w:t>
      </w:r>
      <w:r w:rsidR="005A3F29">
        <w:t>,</w:t>
      </w:r>
      <w:r>
        <w:t xml:space="preserve"> a</w:t>
      </w:r>
      <w:r w:rsidR="001A2B91">
        <w:t xml:space="preserve">s these firms are concentrated within </w:t>
      </w:r>
      <w:r>
        <w:t>the ban sample, this speculation may bias our results.</w:t>
      </w:r>
      <w:r w:rsidR="001A2B91">
        <w:t xml:space="preserve">  </w:t>
      </w:r>
      <w:r w:rsidR="00BA7929">
        <w:t xml:space="preserve">At the initiation of the short-sale ban, TARP had not yet passed </w:t>
      </w:r>
      <w:r w:rsidR="009E57C2">
        <w:t>in C</w:t>
      </w:r>
      <w:r w:rsidR="00BA7929">
        <w:t>ongress and</w:t>
      </w:r>
      <w:r w:rsidR="005A3F29">
        <w:t xml:space="preserve"> </w:t>
      </w:r>
      <w:r w:rsidR="00BA7929">
        <w:t>guidelines regarding how the funds would potentially be allocated were not available.  Clearly</w:t>
      </w:r>
      <w:r w:rsidR="009E57C2">
        <w:t>,</w:t>
      </w:r>
      <w:r w:rsidR="00BA7929">
        <w:t xml:space="preserve"> only troubled firms would receive funds, but the ability of investors to make finer forecasts is </w:t>
      </w:r>
      <w:r w:rsidR="001A2B91">
        <w:t>unclear</w:t>
      </w:r>
      <w:r w:rsidR="00BA7929">
        <w:t>.  Bayazitova and Shivdasani (20</w:t>
      </w:r>
      <w:r w:rsidR="001A2B91">
        <w:t>1</w:t>
      </w:r>
      <w:r w:rsidR="007306B5">
        <w:t>2</w:t>
      </w:r>
      <w:r w:rsidR="00BA7929">
        <w:t xml:space="preserve">) report that banks which were larger, with weaker capital ratios and </w:t>
      </w:r>
      <w:r w:rsidR="009E57C2">
        <w:t>which</w:t>
      </w:r>
      <w:r w:rsidR="00BA7929">
        <w:t xml:space="preserve"> were exposed to more financial risk</w:t>
      </w:r>
      <w:r w:rsidR="0059574D">
        <w:t>,</w:t>
      </w:r>
      <w:r w:rsidR="00BA7929">
        <w:t xml:space="preserve"> were more likely to receive TARP capital infusions</w:t>
      </w:r>
      <w:r w:rsidR="001F1056">
        <w:t xml:space="preserve"> (i.e. the stocks with the heaviest weight in the ban index)</w:t>
      </w:r>
      <w:r w:rsidR="00BA7929">
        <w:t xml:space="preserve">.  They also report that TARP capital injection announcements, which started on </w:t>
      </w:r>
      <w:smartTag w:uri="urn:schemas-microsoft-com:office:smarttags" w:element="date">
        <w:smartTagPr>
          <w:attr w:name="Month" w:val="10"/>
          <w:attr w:name="Day" w:val="14"/>
          <w:attr w:name="Year" w:val="2008"/>
        </w:smartTagPr>
        <w:r w:rsidR="00BA7929">
          <w:t>October 14th, 2008</w:t>
        </w:r>
      </w:smartTag>
      <w:r w:rsidR="00BA7929">
        <w:t xml:space="preserve">, were associated with average excess returns of 10.9%.  </w:t>
      </w:r>
      <w:r w:rsidR="001A2B91">
        <w:t>Two conclusions can b</w:t>
      </w:r>
      <w:r w:rsidR="00E21532">
        <w:t xml:space="preserve">e drawn from the return results. </w:t>
      </w:r>
      <w:r w:rsidR="001A2B91">
        <w:t xml:space="preserve"> </w:t>
      </w:r>
      <w:r w:rsidR="00E21532">
        <w:t>F</w:t>
      </w:r>
      <w:r w:rsidR="001A2B91">
        <w:t xml:space="preserve">irst, TARP announcements affected </w:t>
      </w:r>
      <w:r w:rsidR="001A2B91" w:rsidRPr="001A2B91">
        <w:rPr>
          <w:i/>
        </w:rPr>
        <w:t>both</w:t>
      </w:r>
      <w:r w:rsidR="001A2B91">
        <w:t xml:space="preserve"> the banned and not-banned samples but with different magnitude</w:t>
      </w:r>
      <w:r w:rsidR="001F1056">
        <w:t>s</w:t>
      </w:r>
      <w:r w:rsidR="001A2B91">
        <w:t>.  Second, TARP announcements appear to be largely unexpected, given the relatively large one-day returns associated with TARP announcements</w:t>
      </w:r>
      <w:r w:rsidR="001F1056">
        <w:t xml:space="preserve"> for both samples</w:t>
      </w:r>
      <w:r w:rsidR="001A2B91">
        <w:t xml:space="preserve">. </w:t>
      </w:r>
      <w:r w:rsidR="00BA7929">
        <w:t xml:space="preserve"> </w:t>
      </w:r>
      <w:r w:rsidR="001A2B91">
        <w:t>For example, the announcement to switch to bank capital infusions on Oct</w:t>
      </w:r>
      <w:r w:rsidR="00E21532">
        <w:t>ober</w:t>
      </w:r>
      <w:r w:rsidR="001A2B91">
        <w:t xml:space="preserve"> 13 related to a return of 11.7% and 9.8% for the banned and no</w:t>
      </w:r>
      <w:r w:rsidR="001F1056">
        <w:t>t</w:t>
      </w:r>
      <w:r w:rsidR="001A2B91">
        <w:t>-banned samples, respectively, even though bank stocks were isolated to the banned sample.  Similarly, on September</w:t>
      </w:r>
      <w:r w:rsidR="00E21532">
        <w:t xml:space="preserve"> 29</w:t>
      </w:r>
      <w:r w:rsidR="001A2B91">
        <w:t xml:space="preserve"> when the House of Representatives rejected the initial stabilization plan, the banned and no</w:t>
      </w:r>
      <w:r w:rsidR="001F1056">
        <w:t>t</w:t>
      </w:r>
      <w:r w:rsidR="001A2B91">
        <w:t xml:space="preserve">-banned sub-samples realized returns of -12.4% and -7.8%.  </w:t>
      </w:r>
    </w:p>
    <w:p w:rsidR="003D32B0" w:rsidRDefault="003D32B0" w:rsidP="00AC7EB4">
      <w:pPr>
        <w:jc w:val="both"/>
      </w:pPr>
    </w:p>
    <w:p w:rsidR="000F69DE" w:rsidRPr="003D32B0" w:rsidRDefault="000F69DE" w:rsidP="00AC7EB4">
      <w:pPr>
        <w:jc w:val="both"/>
      </w:pPr>
    </w:p>
    <w:p w:rsidR="00BA7929" w:rsidRPr="006B4CC9" w:rsidRDefault="00BA7929" w:rsidP="00AC7EB4">
      <w:pPr>
        <w:pStyle w:val="Heading1"/>
        <w:numPr>
          <w:ilvl w:val="0"/>
          <w:numId w:val="2"/>
        </w:numPr>
        <w:jc w:val="both"/>
        <w:rPr>
          <w:rFonts w:ascii="Times New Roman" w:hAnsi="Times New Roman" w:cs="Times New Roman"/>
          <w:sz w:val="24"/>
          <w:szCs w:val="24"/>
        </w:rPr>
      </w:pPr>
      <w:r>
        <w:rPr>
          <w:rFonts w:ascii="Times New Roman" w:hAnsi="Times New Roman" w:cs="Times New Roman"/>
          <w:sz w:val="24"/>
          <w:szCs w:val="24"/>
        </w:rPr>
        <w:t>Price Inflation Associated with the Ban</w:t>
      </w:r>
    </w:p>
    <w:p w:rsidR="00BA7929" w:rsidRDefault="00BA7929" w:rsidP="00AC7EB4">
      <w:pPr>
        <w:jc w:val="both"/>
      </w:pPr>
    </w:p>
    <w:p w:rsidR="005647AA" w:rsidRDefault="00BA7929" w:rsidP="00420E8F">
      <w:pPr>
        <w:pStyle w:val="BodyText"/>
        <w:jc w:val="both"/>
      </w:pPr>
      <w:r w:rsidRPr="00706893">
        <w:t xml:space="preserve">Figure </w:t>
      </w:r>
      <w:r w:rsidR="005647AA">
        <w:t>4</w:t>
      </w:r>
      <w:r w:rsidRPr="00706893">
        <w:t xml:space="preserve"> presents cumulative</w:t>
      </w:r>
      <w:r w:rsidR="0095365C">
        <w:t>,</w:t>
      </w:r>
      <w:r w:rsidRPr="00706893">
        <w:t xml:space="preserve"> value-</w:t>
      </w:r>
      <w:r w:rsidR="002B12A4">
        <w:t xml:space="preserve"> and short interest-</w:t>
      </w:r>
      <w:r w:rsidRPr="00706893">
        <w:t>weighted actual banned stock index returns and th</w:t>
      </w:r>
      <w:r w:rsidR="005647AA">
        <w:t xml:space="preserve">e corresponding </w:t>
      </w:r>
      <w:r w:rsidR="002B12A4">
        <w:t xml:space="preserve">counterfactual </w:t>
      </w:r>
      <w:r w:rsidR="005647AA">
        <w:t>estimate</w:t>
      </w:r>
      <w:r w:rsidR="005A3F29">
        <w:t>s</w:t>
      </w:r>
      <w:r w:rsidR="005647AA">
        <w:t xml:space="preserve"> of these indices</w:t>
      </w:r>
      <w:r w:rsidRPr="00706893">
        <w:t xml:space="preserve"> obtained from factor returns implied from the </w:t>
      </w:r>
      <w:r w:rsidR="00DB4984">
        <w:t>not-banned</w:t>
      </w:r>
      <w:r w:rsidRPr="00706893">
        <w:t xml:space="preserve"> stocks.  The plot covers the period 14 trading days before to 14 trading days after</w:t>
      </w:r>
      <w:r w:rsidR="00FB1ACC">
        <w:t xml:space="preserve"> the ban</w:t>
      </w:r>
      <w:r w:rsidRPr="00706893">
        <w:t xml:space="preserve">.  </w:t>
      </w:r>
      <w:r w:rsidR="005647AA">
        <w:t>Focusing first on the value-weighted index</w:t>
      </w:r>
      <w:r w:rsidR="00703CCD">
        <w:t xml:space="preserve"> (Panel A)</w:t>
      </w:r>
      <w:r w:rsidR="005647AA">
        <w:t>, in the pre-ban period the estimated and actual index returns overlap substantially</w:t>
      </w:r>
      <w:r w:rsidR="00703CCD">
        <w:t xml:space="preserve"> with differences between the actual and estimated cumulative indexes being realized only during the ban period.  Over the course of the ban, we estimate prices of banned stocks were inflated by 10.5%, reflected by the difference in the cumulative returns of the estimated and actual return series at the end of the ban</w:t>
      </w:r>
      <w:r w:rsidR="00E23AB6">
        <w:t xml:space="preserve">.  </w:t>
      </w:r>
      <w:r w:rsidR="00703CCD">
        <w:t xml:space="preserve"> </w:t>
      </w:r>
    </w:p>
    <w:p w:rsidR="00BA7929" w:rsidRPr="00706893" w:rsidRDefault="00BA7929" w:rsidP="00420E8F">
      <w:pPr>
        <w:pStyle w:val="BodyText"/>
        <w:jc w:val="both"/>
      </w:pPr>
      <w:r w:rsidRPr="00706893">
        <w:t>An analysis of the time-series properties of the daily differences in the year before the ban indicates that the cumulative 14-day difference during the ban period is statistically different from zero based on the variance of this difference in the year before the ban</w:t>
      </w:r>
      <w:r w:rsidR="002B12A4" w:rsidRPr="00706893">
        <w:t xml:space="preserve">.  </w:t>
      </w:r>
      <w:r w:rsidRPr="00706893">
        <w:t xml:space="preserve">The standard deviation of the difference between 14-day actual index returns and 14-day estimated index returns, computed from overlapping returns, is 2.9% in the year before the ban.  The 10.5% 14-day difference in the ban period thus corresponds to a </w:t>
      </w:r>
      <w:r w:rsidRPr="00706893">
        <w:rPr>
          <w:i/>
        </w:rPr>
        <w:t>z</w:t>
      </w:r>
      <w:r w:rsidRPr="00706893">
        <w:t xml:space="preserve">-statistic of 3.12.  Since variances rose during the ban period, this result is overstated.  A paired </w:t>
      </w:r>
      <w:r w:rsidRPr="00706893">
        <w:rPr>
          <w:i/>
        </w:rPr>
        <w:t>t-</w:t>
      </w:r>
      <w:r w:rsidRPr="00706893">
        <w:t xml:space="preserve">test of the difference in the 14 daily returns during the period of the ban gives a </w:t>
      </w:r>
      <w:r w:rsidRPr="00706893">
        <w:rPr>
          <w:i/>
        </w:rPr>
        <w:t>t</w:t>
      </w:r>
      <w:r w:rsidRPr="00706893">
        <w:t xml:space="preserve">-value of 1.47, which corresponds to a </w:t>
      </w:r>
      <w:r w:rsidRPr="00706893">
        <w:rPr>
          <w:i/>
        </w:rPr>
        <w:t>p</w:t>
      </w:r>
      <w:r w:rsidRPr="00706893">
        <w:t xml:space="preserve">-value of 17%.  However, this result is understated because the serial correlation of daily differences during the ban period is -0.55.  The negative serial correlation indicates that the difference series has transitory volatility that is increasing the variance of the daily difference that appears in the denominator of the paired </w:t>
      </w:r>
      <w:r w:rsidRPr="00706893">
        <w:rPr>
          <w:i/>
        </w:rPr>
        <w:t>t</w:t>
      </w:r>
      <w:r w:rsidRPr="00706893">
        <w:t>-test.  These results indicate that the difference is significant compared to its previous history, but perhaps not notably significant given its current volatility.  If the increased volatility in the ban period were due to the ban, the former statistic would provide the appropriate measure of significance.  But if the increased volatility were due to other factors, the latter statistic would be more appropriate.  The truth undoubtedly lies somewhere in between these two extremes.</w:t>
      </w:r>
      <w:r w:rsidRPr="00706893">
        <w:rPr>
          <w:rStyle w:val="FootnoteReference"/>
        </w:rPr>
        <w:footnoteReference w:id="13"/>
      </w:r>
      <w:r w:rsidRPr="00706893">
        <w:t xml:space="preserve"> To summarize, these results indicate that, although financial sector stocks lost value during the short-sale ban, the ban appears to have stabilized their prices, reducing average losses to financial sector stocks by 10.5% over 14 trading days.  </w:t>
      </w:r>
    </w:p>
    <w:p w:rsidR="00BA7929" w:rsidRPr="00706893" w:rsidRDefault="00BA7929" w:rsidP="00420E8F">
      <w:pPr>
        <w:pStyle w:val="BodyText"/>
        <w:jc w:val="both"/>
      </w:pPr>
      <w:r w:rsidRPr="00706893">
        <w:t xml:space="preserve">Actual and estimated short interest-weighted indices for the banned stocks appear in </w:t>
      </w:r>
      <w:r w:rsidR="00703CCD">
        <w:t>Panel B</w:t>
      </w:r>
      <w:r w:rsidRPr="00706893">
        <w:t xml:space="preserve">.  The two indices do not vary </w:t>
      </w:r>
      <w:r w:rsidR="00FA5031">
        <w:t>significantly</w:t>
      </w:r>
      <w:r w:rsidRPr="00706893">
        <w:t xml:space="preserve"> from each other before, during, or after the ban.  Apparently, the ban had less effect on these already heavily shorted stocks than on the other banned stocks.  As reported in Figure 1, prices for these stocks fell the most in the year before the ban.</w:t>
      </w:r>
      <w:r w:rsidR="006C5710">
        <w:t xml:space="preserve">  These results also suggest that short covering, which would have been most pronounced in stocks with the highest level of short interest, does not explain the inflation that we note in the aggregate sample.</w:t>
      </w:r>
      <w:r w:rsidRPr="00706893">
        <w:t xml:space="preserve">  </w:t>
      </w:r>
    </w:p>
    <w:p w:rsidR="00BA7929" w:rsidRDefault="00BA7929" w:rsidP="00420E8F">
      <w:pPr>
        <w:pStyle w:val="BodyText"/>
        <w:jc w:val="both"/>
      </w:pPr>
      <w:r w:rsidRPr="00706893">
        <w:t xml:space="preserve">We obtain different results when we compute the indices separately for optionable stocks and stocks without listed options.  During the ban, stocks with listed options could be shorted by options dealers who were hedging positions they acquired in the options market.  Their customers thus could form synthetic, short positions through the options market. </w:t>
      </w:r>
      <w:r w:rsidR="00E23AB6">
        <w:t xml:space="preserve"> </w:t>
      </w:r>
      <w:r w:rsidR="00703CCD">
        <w:t>Panel C</w:t>
      </w:r>
      <w:r w:rsidRPr="00706893">
        <w:t xml:space="preserve"> presents the difference between </w:t>
      </w:r>
      <w:r w:rsidR="00FA5031">
        <w:t xml:space="preserve">the </w:t>
      </w:r>
      <w:r w:rsidRPr="00706893">
        <w:t>actual and estimated short interest-weighted banned stock index returns, separately for stocks with and without listed options.  The banned stock sample of 676 stocks includes 363 optionable and 313 not optionable stocks.</w:t>
      </w:r>
      <w:r w:rsidRPr="00706893">
        <w:rPr>
          <w:rStyle w:val="FootnoteReference"/>
        </w:rPr>
        <w:footnoteReference w:id="14"/>
      </w:r>
      <w:r w:rsidRPr="00706893">
        <w:t xml:space="preserve">  During the ban period, the difference between actual and estimated index returns for the optionable stocks was 1.8% (statistically insignificant), which suggests that the ban had no appreciable impact on stocks that could be synthetically shorted in the options markets.  For the stocks without listed options, the actual index increased 12.8% relative to the estimated index during the ban period.  The paired </w:t>
      </w:r>
      <w:r w:rsidRPr="00706893">
        <w:rPr>
          <w:i/>
        </w:rPr>
        <w:t>t</w:t>
      </w:r>
      <w:r w:rsidRPr="00706893">
        <w:t>-statistic for the test of equality of mean daily returns is 1.62.</w:t>
      </w:r>
      <w:r w:rsidRPr="00706893">
        <w:rPr>
          <w:rStyle w:val="FootnoteReference"/>
        </w:rPr>
        <w:footnoteReference w:id="15"/>
      </w:r>
      <w:r w:rsidRPr="00706893">
        <w:t xml:space="preserve">  These results suggest that some short selling continued in the highly shorted stocks with listed options whereas the ban had a greater effect for highly shorted stocks which could not be shorted in the options markets.</w:t>
      </w:r>
      <w:r>
        <w:t xml:space="preserve">  These results further support the conclusion that the inflation we note is related to the short-sale ban</w:t>
      </w:r>
      <w:r w:rsidR="00F25365">
        <w:t xml:space="preserve"> and cannot be attributed to</w:t>
      </w:r>
      <w:r>
        <w:t xml:space="preserve"> other coincidental events </w:t>
      </w:r>
      <w:r w:rsidR="00F25365">
        <w:t>unlikely</w:t>
      </w:r>
      <w:r>
        <w:t xml:space="preserve"> to have differential effects on optioned relative to not optioned stocks.</w:t>
      </w:r>
    </w:p>
    <w:p w:rsidR="00BA7929" w:rsidRPr="00706893" w:rsidRDefault="00BA7929" w:rsidP="00420E8F">
      <w:pPr>
        <w:pStyle w:val="BodyText"/>
        <w:jc w:val="both"/>
      </w:pPr>
      <w:r>
        <w:t>The result that inflation from the short-sale ban was mo</w:t>
      </w:r>
      <w:r w:rsidR="00E60A88">
        <w:t>re</w:t>
      </w:r>
      <w:r>
        <w:t xml:space="preserve"> pronounced for not-optionable stocks contrasts Battalio and Schultz (201</w:t>
      </w:r>
      <w:r w:rsidR="006C5710">
        <w:t>1</w:t>
      </w:r>
      <w:r>
        <w:t>) who examine</w:t>
      </w:r>
      <w:r w:rsidR="00F25365">
        <w:t xml:space="preserve"> the</w:t>
      </w:r>
      <w:r>
        <w:t xml:space="preserve"> initiation of short exposure on the CBOE and ISE in August and September 2008 for short-sale banned stocks and a matched control sample.  They report that initiation of short exposure was not significantly higher for the banned sample relative to the control, from which they conclude that investors seeking short positions did not migrate to the option market.  </w:t>
      </w:r>
      <w:r w:rsidR="00F25365">
        <w:t>However</w:t>
      </w:r>
      <w:r w:rsidR="00703CCD">
        <w:t>,</w:t>
      </w:r>
      <w:r>
        <w:t xml:space="preserve"> their results also show a marked increase in option trading </w:t>
      </w:r>
      <w:r w:rsidR="00FA5031">
        <w:t>coincidental</w:t>
      </w:r>
      <w:r>
        <w:t xml:space="preserve"> with the ban for both the control and the ban sub-samples.  They also report that option trading costs significantly increased for the banned stocks.  Thus, a viable alternative hypothesis</w:t>
      </w:r>
      <w:r w:rsidR="00F25365">
        <w:t xml:space="preserve"> to Battalio and Schultz</w:t>
      </w:r>
      <w:r>
        <w:t xml:space="preserve"> is that a segment of investors who normally traded in </w:t>
      </w:r>
      <w:r w:rsidR="00E60A88">
        <w:t xml:space="preserve">options for </w:t>
      </w:r>
      <w:r>
        <w:t>the banned stocks dropped from the market due to increased trading costs and</w:t>
      </w:r>
      <w:r w:rsidR="00F25365">
        <w:t xml:space="preserve"> that</w:t>
      </w:r>
      <w:r>
        <w:t xml:space="preserve"> those investors were replaced by an influx of investors from the short-sale market.</w:t>
      </w:r>
      <w:r w:rsidR="00E42F2A">
        <w:t xml:space="preserve">  As previously discussed, our results are consistent with international evidence from Beber and Pegano (2011) </w:t>
      </w:r>
      <w:r w:rsidR="00036BD5">
        <w:t xml:space="preserve">who find differential effects of short-sale </w:t>
      </w:r>
      <w:r w:rsidR="00E42F2A">
        <w:t>ban</w:t>
      </w:r>
      <w:r w:rsidR="00036BD5">
        <w:t>s</w:t>
      </w:r>
      <w:r w:rsidR="00E42F2A">
        <w:t xml:space="preserve"> </w:t>
      </w:r>
      <w:r w:rsidR="00FA5031">
        <w:t>for</w:t>
      </w:r>
      <w:r w:rsidR="00E42F2A">
        <w:t xml:space="preserve"> optionable stocks</w:t>
      </w:r>
      <w:r w:rsidR="00E23AB6">
        <w:t xml:space="preserve">.  </w:t>
      </w:r>
      <w:r>
        <w:t xml:space="preserve"> </w:t>
      </w:r>
      <w:r w:rsidRPr="00706893">
        <w:t xml:space="preserve"> </w:t>
      </w:r>
    </w:p>
    <w:p w:rsidR="00BA7929" w:rsidRPr="00706893" w:rsidRDefault="00BA7929" w:rsidP="00420E8F">
      <w:pPr>
        <w:pStyle w:val="BodyText"/>
        <w:jc w:val="both"/>
      </w:pPr>
      <w:r w:rsidRPr="00706893">
        <w:t>We also analyze cross-sectional variation in stock price inflation using multivariate regression metho</w:t>
      </w:r>
      <w:r w:rsidR="00200875">
        <w:t>ds to help determine</w:t>
      </w:r>
      <w:r w:rsidR="00FA5031">
        <w:t>,</w:t>
      </w:r>
      <w:r w:rsidR="00200875">
        <w:t xml:space="preserve"> on a stock-</w:t>
      </w:r>
      <w:r w:rsidRPr="00706893">
        <w:t>by</w:t>
      </w:r>
      <w:r w:rsidR="00200875">
        <w:t>-</w:t>
      </w:r>
      <w:r w:rsidRPr="00706893">
        <w:t>stock basis</w:t>
      </w:r>
      <w:r w:rsidR="00FA5031">
        <w:t>,</w:t>
      </w:r>
      <w:r w:rsidRPr="00706893">
        <w:t xml:space="preserve"> whether the inflation was due to the ban or </w:t>
      </w:r>
      <w:r w:rsidR="008F5659">
        <w:t>other factors such as TARP</w:t>
      </w:r>
      <w:r w:rsidR="00036BD5" w:rsidRPr="00706893">
        <w:t xml:space="preserve">.  </w:t>
      </w:r>
      <w:r w:rsidRPr="00706893">
        <w:t>We estimate three models</w:t>
      </w:r>
      <w:r w:rsidR="00BE5A49">
        <w:t>.  I</w:t>
      </w:r>
      <w:r w:rsidRPr="00706893">
        <w:t xml:space="preserve">n each </w:t>
      </w:r>
      <w:r w:rsidR="00BE5A49">
        <w:t xml:space="preserve">model, </w:t>
      </w:r>
      <w:r w:rsidRPr="00706893">
        <w:t>the dependent variable is inflation for a given stock during the ban</w:t>
      </w:r>
      <w:r w:rsidR="008F5659">
        <w:t xml:space="preserve"> period</w:t>
      </w:r>
      <w:r w:rsidRPr="00706893">
        <w:t>, calculated as the cumulative difference between ac</w:t>
      </w:r>
      <w:r w:rsidR="008F5659">
        <w:t>tual and estimated daily return</w:t>
      </w:r>
      <w:r w:rsidR="00FA5031">
        <w:t>s</w:t>
      </w:r>
      <w:r w:rsidRPr="00706893">
        <w:t>.</w:t>
      </w:r>
      <w:r w:rsidR="008F5659">
        <w:t xml:space="preserve"> </w:t>
      </w:r>
      <w:r w:rsidRPr="00706893">
        <w:t xml:space="preserve"> In the first model, we regress inflation on </w:t>
      </w:r>
      <w:r w:rsidR="00C25AA0">
        <w:t>indicator</w:t>
      </w:r>
      <w:r w:rsidRPr="00706893">
        <w:t xml:space="preserve"> variables </w:t>
      </w:r>
      <w:r>
        <w:t xml:space="preserve">for </w:t>
      </w:r>
      <w:r w:rsidRPr="00706893">
        <w:t xml:space="preserve">inclusion in the short-sale ban (BAN), availability of option trading (OPTION), and provision of TARP funding in 2008 (TARP).  We also include market capitalization (SIZE), the percentage of float sold short on </w:t>
      </w:r>
      <w:smartTag w:uri="urn:schemas-microsoft-com:office:smarttags" w:element="date">
        <w:smartTagPr>
          <w:attr w:name="Month" w:val="9"/>
          <w:attr w:name="Day" w:val="15"/>
          <w:attr w:name="Year" w:val="2008"/>
        </w:smartTagPr>
        <w:r w:rsidRPr="00706893">
          <w:t>September 15, 2008</w:t>
        </w:r>
      </w:smartTag>
      <w:r w:rsidRPr="00706893">
        <w:t xml:space="preserve"> (SHORT), average illiquidity (AMIHUD), and volatility (VOLAT) over the year before the short-sale ban as control variables.</w:t>
      </w:r>
      <w:r w:rsidRPr="00706893">
        <w:rPr>
          <w:rStyle w:val="FootnoteReference"/>
        </w:rPr>
        <w:footnoteReference w:id="16"/>
      </w:r>
      <w:r w:rsidRPr="00706893">
        <w:t xml:space="preserve">  </w:t>
      </w:r>
    </w:p>
    <w:p w:rsidR="00BA7929" w:rsidRPr="00706893" w:rsidRDefault="00BA7929" w:rsidP="00420E8F">
      <w:pPr>
        <w:pStyle w:val="BodyText"/>
        <w:jc w:val="both"/>
      </w:pPr>
      <w:r w:rsidRPr="00706893">
        <w:t>The estimation results appear in the first column of Table I</w:t>
      </w:r>
      <w:r>
        <w:t>I</w:t>
      </w:r>
      <w:r w:rsidRPr="00706893">
        <w:t>I.  The positive and significant (</w:t>
      </w:r>
      <w:r w:rsidRPr="00AC7EB4">
        <w:rPr>
          <w:i/>
        </w:rPr>
        <w:t>t</w:t>
      </w:r>
      <w:r w:rsidRPr="00706893">
        <w:t xml:space="preserve">-statistic 7.77) BAN coefficient indicates that inflation was significantly greater for the banned stocks.  OPTION is insignificant suggesting that inflation was not statistically different for optionable relative to non-optionable stocks across the entire sample.  Similarly, the TARP coefficient is </w:t>
      </w:r>
      <w:r w:rsidR="008F5659" w:rsidRPr="00706893">
        <w:t>insignificant</w:t>
      </w:r>
      <w:r w:rsidR="008F5659">
        <w:t>;</w:t>
      </w:r>
      <w:r w:rsidRPr="00706893">
        <w:t xml:space="preserve"> suggesting that inflation for the TARP sub</w:t>
      </w:r>
      <w:r>
        <w:t>-</w:t>
      </w:r>
      <w:r w:rsidRPr="00706893">
        <w:t>sample was not significantly greater th</w:t>
      </w:r>
      <w:r w:rsidR="00557E39">
        <w:t>an for the other banned and not-</w:t>
      </w:r>
      <w:r w:rsidRPr="00706893">
        <w:t xml:space="preserve">banned stocks.  </w:t>
      </w:r>
      <w:r w:rsidR="008F5659">
        <w:t>The control variables are insignificant with the exception of VOLAT (</w:t>
      </w:r>
      <w:r w:rsidR="008F5659" w:rsidRPr="00AC7EB4">
        <w:rPr>
          <w:i/>
        </w:rPr>
        <w:t>t</w:t>
      </w:r>
      <w:r w:rsidR="008F5659">
        <w:t>-statistic 5.76) suggesting that stocks with greater value uncertainty were more effected by the short-sale ban.</w:t>
      </w:r>
    </w:p>
    <w:p w:rsidR="00BA7929" w:rsidRDefault="00BE5A49" w:rsidP="00420E8F">
      <w:pPr>
        <w:pStyle w:val="BodyText"/>
        <w:jc w:val="both"/>
      </w:pPr>
      <w:r>
        <w:t>T</w:t>
      </w:r>
      <w:r w:rsidR="00557E39">
        <w:t>o examine cross-sectional determinants of inflation within the banned stock subsample</w:t>
      </w:r>
      <w:r w:rsidR="00BA7929" w:rsidRPr="00706893">
        <w:t xml:space="preserve">, </w:t>
      </w:r>
      <w:r w:rsidR="00557E39">
        <w:t>in model (2) we</w:t>
      </w:r>
      <w:r w:rsidR="00BA7929" w:rsidRPr="00706893">
        <w:t xml:space="preserve"> interact </w:t>
      </w:r>
      <w:r w:rsidR="00C25AA0">
        <w:t>the</w:t>
      </w:r>
      <w:r w:rsidR="002B12A4">
        <w:t xml:space="preserve"> </w:t>
      </w:r>
      <w:r w:rsidR="00BA7929" w:rsidRPr="00706893">
        <w:t>ban</w:t>
      </w:r>
      <w:r w:rsidR="008F5659">
        <w:t>ned stock</w:t>
      </w:r>
      <w:r w:rsidR="00BA7929" w:rsidRPr="00706893">
        <w:t xml:space="preserve"> </w:t>
      </w:r>
      <w:r w:rsidR="002B12A4">
        <w:t>indicator variable with each of the variables of interest</w:t>
      </w:r>
      <w:r w:rsidR="00BA7929" w:rsidRPr="00706893">
        <w:t>.</w:t>
      </w:r>
      <w:r w:rsidR="00BA7929" w:rsidRPr="00706893">
        <w:rPr>
          <w:rStyle w:val="FootnoteReference"/>
        </w:rPr>
        <w:footnoteReference w:id="17"/>
      </w:r>
      <w:r w:rsidR="00BA7929" w:rsidRPr="00706893">
        <w:t xml:space="preserve">  The OPTION*BAN interaction variable is negative and significant (</w:t>
      </w:r>
      <w:r w:rsidR="00BA7929" w:rsidRPr="00AC7EB4">
        <w:rPr>
          <w:i/>
        </w:rPr>
        <w:t>t</w:t>
      </w:r>
      <w:bookmarkStart w:id="1" w:name="K1"/>
      <w:bookmarkEnd w:id="1"/>
      <w:r w:rsidR="00BA7929" w:rsidRPr="00706893">
        <w:t>-statistic 4.53), which suggests that within the ban sample</w:t>
      </w:r>
      <w:r w:rsidR="00B90CF7">
        <w:t>,</w:t>
      </w:r>
      <w:r w:rsidR="00BA7929" w:rsidRPr="00706893">
        <w:t xml:space="preserve"> optionable stocks realized significantly lower inflation than non-optionable stocks.  This finding supports the conclusion that options mitigated the short-sale ban by allowing investors to create synthetic short positions.  </w:t>
      </w:r>
      <w:r w:rsidR="00557E39">
        <w:t>We find the same result in model (3)</w:t>
      </w:r>
      <w:r w:rsidR="00BA7929" w:rsidRPr="00706893">
        <w:t xml:space="preserve"> which we estimate </w:t>
      </w:r>
      <w:r w:rsidR="00557E39">
        <w:t>using the banned stock subsample</w:t>
      </w:r>
      <w:r w:rsidR="00BA7929" w:rsidRPr="00706893">
        <w:t xml:space="preserve">.  </w:t>
      </w:r>
      <w:r w:rsidR="002B12A4">
        <w:t>Similar to the full model specifications, t</w:t>
      </w:r>
      <w:r w:rsidR="00BA7929" w:rsidRPr="00706893">
        <w:t>he TARP coefficient is insignificant, which suggests no noteworthy difference in inflation between the TARP and non-TARP funded stocks in the ban</w:t>
      </w:r>
      <w:r w:rsidR="00C25AA0">
        <w:t>ned stock</w:t>
      </w:r>
      <w:r w:rsidR="00BA7929" w:rsidRPr="00706893">
        <w:t xml:space="preserve"> sub</w:t>
      </w:r>
      <w:r w:rsidR="00BA7929">
        <w:t>-</w:t>
      </w:r>
      <w:r w:rsidR="00BA7929" w:rsidRPr="00706893">
        <w:t xml:space="preserve">sample.  </w:t>
      </w:r>
      <w:r w:rsidR="006C5710">
        <w:t>In all three models, the coefficient on SHORT is negative but is only significant in the third model.  The coefficient sign suggests that inflation was, if anything, lower for stocks with higher short interest, confirming our previous conclusion that short covering at the start of the ban has little relation to the level of inflation.</w:t>
      </w:r>
      <w:r w:rsidR="00C20AE3">
        <w:t xml:space="preserve">  In unreported tests, we include the change in short interest between August 15 and October 15, 2008 as an alternative proxy for </w:t>
      </w:r>
      <w:r w:rsidR="002B12A4">
        <w:t>the reduction</w:t>
      </w:r>
      <w:r w:rsidR="00C20AE3">
        <w:t xml:space="preserve"> in short interest and find the same result.</w:t>
      </w:r>
    </w:p>
    <w:p w:rsidR="00BA7929" w:rsidRDefault="00BA7929" w:rsidP="00420E8F">
      <w:pPr>
        <w:pStyle w:val="BodyText"/>
        <w:jc w:val="both"/>
      </w:pPr>
      <w:r>
        <w:t>As a final robustness check, we estimate cumulative inflation for the not-banned sub-sample during the banned period.  We find that throughout the ban period</w:t>
      </w:r>
      <w:r w:rsidR="003E785C">
        <w:t>,</w:t>
      </w:r>
      <w:r>
        <w:t xml:space="preserve"> the level of cumulative inflation was not significantly unique to zero.  Given the size of this sub-sample and the fact that the second stage factor loadings were estimated from this sample</w:t>
      </w:r>
      <w:r w:rsidR="00AD4C02">
        <w:t>,</w:t>
      </w:r>
      <w:r>
        <w:t xml:space="preserve"> this result is not surprising</w:t>
      </w:r>
      <w:r w:rsidRPr="00706893">
        <w:t>.</w:t>
      </w:r>
      <w:r>
        <w:t xml:space="preserve">  But,</w:t>
      </w:r>
      <w:r w:rsidR="00E60A88">
        <w:t xml:space="preserve"> </w:t>
      </w:r>
      <w:r>
        <w:t>given that this sub-sample was subject to the same increase in price volatility as the banned sub-sample</w:t>
      </w:r>
      <w:r w:rsidR="00586089">
        <w:t>,</w:t>
      </w:r>
      <w:r>
        <w:t xml:space="preserve"> this result gives us an added level of confidence that our factor-analytic model is accurately capturing factor mappings during the ban period.</w:t>
      </w:r>
      <w:r w:rsidRPr="00706893">
        <w:t xml:space="preserve"> </w:t>
      </w:r>
    </w:p>
    <w:p w:rsidR="00BA7929" w:rsidRPr="00706893" w:rsidRDefault="00BA7929" w:rsidP="00420E8F">
      <w:pPr>
        <w:pStyle w:val="BodyText"/>
        <w:jc w:val="both"/>
      </w:pPr>
      <w:r w:rsidRPr="00706893">
        <w:t xml:space="preserve"> </w:t>
      </w:r>
    </w:p>
    <w:p w:rsidR="00BA7929" w:rsidRPr="00BA7929" w:rsidRDefault="00BA7929" w:rsidP="00AC7EB4">
      <w:pPr>
        <w:pStyle w:val="Heading1"/>
        <w:numPr>
          <w:ilvl w:val="0"/>
          <w:numId w:val="2"/>
        </w:numPr>
        <w:jc w:val="both"/>
        <w:rPr>
          <w:rFonts w:ascii="Times New Roman" w:hAnsi="Times New Roman" w:cs="Times New Roman"/>
          <w:sz w:val="24"/>
          <w:szCs w:val="24"/>
        </w:rPr>
      </w:pPr>
      <w:r>
        <w:rPr>
          <w:rFonts w:ascii="Times New Roman" w:hAnsi="Times New Roman" w:cs="Times New Roman"/>
          <w:sz w:val="24"/>
          <w:szCs w:val="24"/>
        </w:rPr>
        <w:t>Post-Ban Correction and the Consequences for Buyers</w:t>
      </w:r>
    </w:p>
    <w:p w:rsidR="00BA7929" w:rsidRPr="00706893" w:rsidRDefault="00BA7929" w:rsidP="00AC7EB4">
      <w:pPr>
        <w:jc w:val="both"/>
      </w:pPr>
    </w:p>
    <w:p w:rsidR="00BA7929" w:rsidRPr="00706893" w:rsidRDefault="00BA7929" w:rsidP="00420E8F">
      <w:pPr>
        <w:pStyle w:val="BodyText"/>
        <w:jc w:val="both"/>
      </w:pPr>
      <w:r w:rsidRPr="00706893">
        <w:t xml:space="preserve">Our ban period models suggest </w:t>
      </w:r>
      <w:r w:rsidR="00FB1ACC">
        <w:t xml:space="preserve">that </w:t>
      </w:r>
      <w:r w:rsidRPr="00706893">
        <w:t>the short-sale ban imposed by the SEC resulted in the inflation of financial sector stock values</w:t>
      </w:r>
      <w:r w:rsidR="00F42757">
        <w:t>,</w:t>
      </w:r>
      <w:r w:rsidRPr="00706893">
        <w:t xml:space="preserve"> on average</w:t>
      </w:r>
      <w:r w:rsidR="00F42757">
        <w:t>,</w:t>
      </w:r>
      <w:r w:rsidRPr="00706893">
        <w:t xml:space="preserve"> by 10-12%.  At least two plausible explanations can account for this result, each with significantly different consequence</w:t>
      </w:r>
      <w:r w:rsidR="00FB1ACC">
        <w:t>s</w:t>
      </w:r>
      <w:r w:rsidRPr="00706893">
        <w:t xml:space="preserve"> for traders who </w:t>
      </w:r>
      <w:r>
        <w:t>made purchases</w:t>
      </w:r>
      <w:r w:rsidRPr="00706893">
        <w:t xml:space="preserve"> during the ban.  First, the price inflation may have been due to the reduced threat of liquidity </w:t>
      </w:r>
      <w:r w:rsidR="00147524">
        <w:t>death-spirals</w:t>
      </w:r>
      <w:r w:rsidRPr="00706893">
        <w:t>, as the SEC intended.  If so, all holders, including those who bought during the ban</w:t>
      </w:r>
      <w:r w:rsidR="00586089">
        <w:t>,</w:t>
      </w:r>
      <w:r w:rsidRPr="00706893">
        <w:t xml:space="preserve"> would have benefited.  Alternatively, by excluding traders with negative value opinions from the market, the ban may have only temporarily inflated prices relative to what we otherwise would have</w:t>
      </w:r>
      <w:r w:rsidR="00586089">
        <w:t xml:space="preserve"> been</w:t>
      </w:r>
      <w:r w:rsidRPr="00706893">
        <w:t xml:space="preserve"> expected.  If so, traders who bought during the ban would lose as prices return</w:t>
      </w:r>
      <w:r w:rsidR="00586089">
        <w:t>ed</w:t>
      </w:r>
      <w:r w:rsidRPr="00706893">
        <w:t xml:space="preserve"> to</w:t>
      </w:r>
      <w:r w:rsidR="00FB1ACC">
        <w:t>ward</w:t>
      </w:r>
      <w:r w:rsidRPr="00706893">
        <w:t xml:space="preserve"> their true intrinsic values following the ban.</w:t>
      </w:r>
      <w:r>
        <w:t xml:space="preserve">  </w:t>
      </w:r>
    </w:p>
    <w:p w:rsidR="00BA7929" w:rsidRDefault="008F5659" w:rsidP="00420E8F">
      <w:pPr>
        <w:pStyle w:val="BodyText"/>
        <w:jc w:val="both"/>
      </w:pPr>
      <w:r>
        <w:t>As previously discussed, g</w:t>
      </w:r>
      <w:r w:rsidR="00BA7929" w:rsidRPr="00706893">
        <w:t>iven the potentially event-induced change in volatility</w:t>
      </w:r>
      <w:r>
        <w:t xml:space="preserve"> surrounding the short-sale ban</w:t>
      </w:r>
      <w:r w:rsidR="00BA7929" w:rsidRPr="00706893">
        <w:t xml:space="preserve">, we evaluate the statistical significance of the </w:t>
      </w:r>
      <w:r w:rsidR="00BA7929">
        <w:t xml:space="preserve">post-ban </w:t>
      </w:r>
      <w:r w:rsidR="00BA7929" w:rsidRPr="00706893">
        <w:t>cumulative difference results utilizing two test</w:t>
      </w:r>
      <w:r w:rsidR="00BA7929">
        <w:t>s</w:t>
      </w:r>
      <w:r w:rsidR="00BA7929" w:rsidRPr="00706893">
        <w:t xml:space="preserve">.  </w:t>
      </w:r>
      <w:r w:rsidR="00BA7929">
        <w:t xml:space="preserve">The first is a </w:t>
      </w:r>
      <w:r w:rsidR="00BA7929" w:rsidRPr="00313E11">
        <w:rPr>
          <w:i/>
        </w:rPr>
        <w:t>t</w:t>
      </w:r>
      <w:r w:rsidR="00BA7929">
        <w:t xml:space="preserve">-test of whether the mean cumulative difference in actual and estimated returns from the end of the ban to day </w:t>
      </w:r>
      <w:r w:rsidR="00BA7929" w:rsidRPr="00DF47A2">
        <w:rPr>
          <w:i/>
        </w:rPr>
        <w:t>T</w:t>
      </w:r>
      <w:r w:rsidR="00BA7929">
        <w:t xml:space="preserve"> is equal to the negative of the mean cumulative difference accrued during the ban.  In the second test we utilize the “standardized cross-sectional test” (SCS) developed by Boehmer et al. (1991) to analyze the same return series.  The SCS test incorporates information from both the estimation period (pre-ban period) and the event period (post-ban period):</w:t>
      </w:r>
    </w:p>
    <w:p w:rsidR="00BA7929" w:rsidRDefault="00BA7929" w:rsidP="003D1B24">
      <w:pPr>
        <w:pStyle w:val="BodyText"/>
        <w:ind w:left="1440"/>
        <w:jc w:val="both"/>
      </w:pPr>
      <w:r w:rsidRPr="003D1B24">
        <w:rPr>
          <w:position w:val="-76"/>
        </w:rPr>
        <w:object w:dxaOrig="3920" w:dyaOrig="1480">
          <v:shape id="_x0000_i1027" type="#_x0000_t75" style="width:194.4pt;height:74.4pt" o:ole="">
            <v:imagedata r:id="rId14" o:title=""/>
          </v:shape>
          <o:OLEObject Type="Embed" ProgID="Equation.DSMT4" ShapeID="_x0000_i1027" DrawAspect="Content" ObjectID="_1420024368" r:id="rId15"/>
        </w:object>
      </w:r>
      <w:r>
        <w:tab/>
      </w:r>
      <w:r>
        <w:tab/>
      </w:r>
      <w:r>
        <w:tab/>
      </w:r>
      <w:r>
        <w:tab/>
        <w:t xml:space="preserve">       (3)</w:t>
      </w:r>
    </w:p>
    <w:p w:rsidR="00BA7929" w:rsidRDefault="00BA7929" w:rsidP="007D39C3">
      <w:pPr>
        <w:pStyle w:val="BodyText"/>
        <w:ind w:firstLine="0"/>
        <w:jc w:val="both"/>
      </w:pPr>
    </w:p>
    <w:p w:rsidR="00BA7929" w:rsidRDefault="00BA7929" w:rsidP="00420E8F">
      <w:pPr>
        <w:pStyle w:val="BodyText"/>
        <w:ind w:firstLine="0"/>
        <w:jc w:val="both"/>
      </w:pPr>
      <w:r>
        <w:t>where SD</w:t>
      </w:r>
      <w:r w:rsidRPr="003D1B24">
        <w:rPr>
          <w:i/>
          <w:vertAlign w:val="subscript"/>
        </w:rPr>
        <w:t>i</w:t>
      </w:r>
      <w:r>
        <w:t xml:space="preserve"> is the standardized difference in the actual and estimated return for the </w:t>
      </w:r>
      <w:r w:rsidRPr="003D1B24">
        <w:rPr>
          <w:i/>
        </w:rPr>
        <w:t>i</w:t>
      </w:r>
      <w:r>
        <w:t xml:space="preserve">th stock, calculated by dividing the post-ban difference in returns for the </w:t>
      </w:r>
      <w:r w:rsidRPr="003D1B24">
        <w:rPr>
          <w:i/>
        </w:rPr>
        <w:t>i</w:t>
      </w:r>
      <w:r>
        <w:t xml:space="preserve">th stock on day </w:t>
      </w:r>
      <w:r w:rsidRPr="003D1B24">
        <w:rPr>
          <w:i/>
        </w:rPr>
        <w:t>T</w:t>
      </w:r>
      <w:r>
        <w:t xml:space="preserve"> by the standard deviation of the difference in returns in the pre-ban period.  Boehmer et al. (1991) demonstrate that the SCS test statistic is not affected by event-induced variance changes.  </w:t>
      </w:r>
    </w:p>
    <w:p w:rsidR="00BA7929" w:rsidRPr="00706893" w:rsidRDefault="00BA7929" w:rsidP="00B66354">
      <w:pPr>
        <w:pStyle w:val="BodyText"/>
        <w:jc w:val="both"/>
      </w:pPr>
      <w:r w:rsidRPr="00706893">
        <w:t>The two hypothes</w:t>
      </w:r>
      <w:r>
        <w:t>e</w:t>
      </w:r>
      <w:r w:rsidRPr="00706893">
        <w:t>s compared are:</w:t>
      </w:r>
    </w:p>
    <w:p w:rsidR="00BA7929" w:rsidRDefault="00BA7929" w:rsidP="00716AAD">
      <w:pPr>
        <w:pStyle w:val="Reference"/>
        <w:spacing w:before="0" w:after="0" w:line="240" w:lineRule="auto"/>
        <w:ind w:left="0" w:firstLine="720"/>
        <w:jc w:val="both"/>
        <w:rPr>
          <w:szCs w:val="24"/>
          <w:lang w:eastAsia="en-CA"/>
        </w:rPr>
      </w:pPr>
    </w:p>
    <w:p w:rsidR="00BA7929" w:rsidRPr="00706893" w:rsidRDefault="00BA7929" w:rsidP="00716AAD">
      <w:pPr>
        <w:pStyle w:val="Reference"/>
        <w:spacing w:before="0" w:after="0" w:line="240" w:lineRule="auto"/>
        <w:ind w:left="0" w:firstLine="720"/>
        <w:jc w:val="both"/>
        <w:rPr>
          <w:szCs w:val="24"/>
          <w:lang w:eastAsia="en-CA"/>
        </w:rPr>
      </w:pPr>
      <w:r w:rsidRPr="00706893">
        <w:rPr>
          <w:szCs w:val="24"/>
          <w:lang w:eastAsia="en-CA"/>
        </w:rPr>
        <w:t>H</w:t>
      </w:r>
      <w:r w:rsidRPr="00706893">
        <w:rPr>
          <w:szCs w:val="24"/>
          <w:vertAlign w:val="subscript"/>
          <w:lang w:eastAsia="en-CA"/>
        </w:rPr>
        <w:t>o</w:t>
      </w:r>
      <w:r w:rsidRPr="00706893">
        <w:rPr>
          <w:szCs w:val="24"/>
          <w:lang w:eastAsia="en-CA"/>
        </w:rPr>
        <w:t>: CD</w:t>
      </w:r>
      <w:r w:rsidRPr="00706893">
        <w:rPr>
          <w:i/>
          <w:szCs w:val="24"/>
          <w:vertAlign w:val="subscript"/>
          <w:lang w:eastAsia="en-CA"/>
        </w:rPr>
        <w:t>i</w:t>
      </w:r>
      <w:r w:rsidRPr="00706893">
        <w:rPr>
          <w:szCs w:val="24"/>
          <w:lang w:eastAsia="en-CA"/>
        </w:rPr>
        <w:t xml:space="preserve"> = 0 for all </w:t>
      </w:r>
      <w:r w:rsidRPr="00706893">
        <w:rPr>
          <w:i/>
          <w:szCs w:val="24"/>
          <w:lang w:eastAsia="en-CA"/>
        </w:rPr>
        <w:t>i</w:t>
      </w:r>
      <w:r w:rsidRPr="00706893">
        <w:rPr>
          <w:i/>
          <w:szCs w:val="24"/>
          <w:lang w:eastAsia="en-CA"/>
        </w:rPr>
        <w:tab/>
      </w:r>
      <w:r w:rsidRPr="00706893">
        <w:rPr>
          <w:i/>
          <w:szCs w:val="24"/>
          <w:lang w:eastAsia="en-CA"/>
        </w:rPr>
        <w:tab/>
      </w:r>
      <w:r w:rsidRPr="00706893">
        <w:rPr>
          <w:szCs w:val="24"/>
          <w:lang w:eastAsia="en-CA"/>
        </w:rPr>
        <w:t>(no correction)</w:t>
      </w:r>
    </w:p>
    <w:p w:rsidR="00BA7929" w:rsidRDefault="00BA7929" w:rsidP="00716AAD">
      <w:pPr>
        <w:pStyle w:val="Reference"/>
        <w:spacing w:before="0" w:after="0" w:line="240" w:lineRule="auto"/>
        <w:ind w:left="0" w:firstLine="720"/>
        <w:jc w:val="both"/>
        <w:rPr>
          <w:szCs w:val="24"/>
          <w:lang w:eastAsia="en-CA"/>
        </w:rPr>
      </w:pPr>
      <w:r w:rsidRPr="00706893">
        <w:rPr>
          <w:szCs w:val="24"/>
          <w:lang w:eastAsia="en-CA"/>
        </w:rPr>
        <w:t>H</w:t>
      </w:r>
      <w:r w:rsidRPr="00706893">
        <w:rPr>
          <w:szCs w:val="24"/>
          <w:vertAlign w:val="subscript"/>
          <w:lang w:eastAsia="en-CA"/>
        </w:rPr>
        <w:t>a</w:t>
      </w:r>
      <w:r w:rsidRPr="00706893">
        <w:rPr>
          <w:szCs w:val="24"/>
          <w:lang w:eastAsia="en-CA"/>
        </w:rPr>
        <w:t>: CD</w:t>
      </w:r>
      <w:r w:rsidRPr="00706893">
        <w:rPr>
          <w:i/>
          <w:szCs w:val="24"/>
          <w:vertAlign w:val="subscript"/>
          <w:lang w:eastAsia="en-CA"/>
        </w:rPr>
        <w:t>i</w:t>
      </w:r>
      <w:r w:rsidRPr="00706893">
        <w:rPr>
          <w:szCs w:val="24"/>
          <w:lang w:eastAsia="en-CA"/>
        </w:rPr>
        <w:t xml:space="preserve"> = -</w:t>
      </w:r>
      <w:r w:rsidRPr="00706893">
        <w:rPr>
          <w:i/>
          <w:szCs w:val="24"/>
          <w:lang w:eastAsia="en-CA"/>
        </w:rPr>
        <w:t>BD</w:t>
      </w:r>
      <w:r w:rsidRPr="00706893">
        <w:rPr>
          <w:i/>
          <w:szCs w:val="24"/>
          <w:vertAlign w:val="subscript"/>
          <w:lang w:eastAsia="en-CA"/>
        </w:rPr>
        <w:t>i</w:t>
      </w:r>
      <w:r w:rsidRPr="00706893">
        <w:rPr>
          <w:szCs w:val="24"/>
          <w:lang w:eastAsia="en-CA"/>
        </w:rPr>
        <w:t xml:space="preserve"> for all </w:t>
      </w:r>
      <w:r w:rsidRPr="00706893">
        <w:rPr>
          <w:i/>
          <w:szCs w:val="24"/>
          <w:lang w:eastAsia="en-CA"/>
        </w:rPr>
        <w:t xml:space="preserve">i </w:t>
      </w:r>
      <w:r w:rsidRPr="00706893">
        <w:rPr>
          <w:i/>
          <w:szCs w:val="24"/>
          <w:lang w:eastAsia="en-CA"/>
        </w:rPr>
        <w:tab/>
      </w:r>
      <w:r w:rsidRPr="00706893">
        <w:rPr>
          <w:szCs w:val="24"/>
          <w:lang w:eastAsia="en-CA"/>
        </w:rPr>
        <w:t>(full correction)</w:t>
      </w:r>
    </w:p>
    <w:p w:rsidR="00BA7929" w:rsidRPr="00706893" w:rsidRDefault="00BA7929" w:rsidP="00716AAD">
      <w:pPr>
        <w:pStyle w:val="Reference"/>
        <w:spacing w:before="0" w:after="0" w:line="240" w:lineRule="auto"/>
        <w:ind w:left="0" w:firstLine="720"/>
        <w:jc w:val="both"/>
        <w:rPr>
          <w:szCs w:val="24"/>
          <w:lang w:eastAsia="en-CA"/>
        </w:rPr>
      </w:pPr>
    </w:p>
    <w:p w:rsidR="00BA7929" w:rsidRPr="00706893" w:rsidRDefault="00BA7929" w:rsidP="00716AAD">
      <w:pPr>
        <w:pStyle w:val="Reference"/>
        <w:spacing w:before="0" w:after="0" w:line="240" w:lineRule="auto"/>
        <w:ind w:left="0" w:firstLine="720"/>
        <w:jc w:val="both"/>
        <w:rPr>
          <w:szCs w:val="24"/>
          <w:lang w:eastAsia="en-CA"/>
        </w:rPr>
      </w:pPr>
    </w:p>
    <w:p w:rsidR="00BA7929" w:rsidRDefault="00BA7929" w:rsidP="00420E8F">
      <w:pPr>
        <w:pStyle w:val="BodyText"/>
        <w:ind w:firstLine="0"/>
        <w:jc w:val="both"/>
        <w:rPr>
          <w:szCs w:val="24"/>
          <w:lang w:eastAsia="en-CA"/>
        </w:rPr>
      </w:pPr>
      <w:bookmarkStart w:id="2" w:name="ZBBlock"/>
      <w:bookmarkEnd w:id="2"/>
      <w:r w:rsidRPr="00706893">
        <w:rPr>
          <w:szCs w:val="24"/>
          <w:lang w:eastAsia="en-CA"/>
        </w:rPr>
        <w:t>where CD</w:t>
      </w:r>
      <w:r w:rsidRPr="00706893">
        <w:rPr>
          <w:i/>
          <w:szCs w:val="24"/>
          <w:vertAlign w:val="subscript"/>
          <w:lang w:eastAsia="en-CA"/>
        </w:rPr>
        <w:t>i</w:t>
      </w:r>
      <w:r w:rsidRPr="00706893">
        <w:rPr>
          <w:szCs w:val="24"/>
          <w:lang w:eastAsia="en-CA"/>
        </w:rPr>
        <w:t xml:space="preserve">  is the </w:t>
      </w:r>
      <w:r>
        <w:rPr>
          <w:szCs w:val="24"/>
          <w:lang w:eastAsia="en-CA"/>
        </w:rPr>
        <w:t xml:space="preserve">mean </w:t>
      </w:r>
      <w:r w:rsidRPr="00706893">
        <w:rPr>
          <w:szCs w:val="24"/>
          <w:lang w:eastAsia="en-CA"/>
        </w:rPr>
        <w:t xml:space="preserve">cumulative difference between actual and estimated returns for stock </w:t>
      </w:r>
      <w:r w:rsidRPr="00706893">
        <w:rPr>
          <w:i/>
          <w:szCs w:val="24"/>
          <w:lang w:eastAsia="en-CA"/>
        </w:rPr>
        <w:t>i</w:t>
      </w:r>
      <w:r w:rsidRPr="00706893">
        <w:rPr>
          <w:szCs w:val="24"/>
          <w:lang w:eastAsia="en-CA"/>
        </w:rPr>
        <w:t xml:space="preserve"> from the end of the ban period to day </w:t>
      </w:r>
      <w:r w:rsidRPr="00706893">
        <w:rPr>
          <w:i/>
          <w:szCs w:val="24"/>
          <w:lang w:eastAsia="en-CA"/>
        </w:rPr>
        <w:t>T</w:t>
      </w:r>
      <w:r w:rsidRPr="00706893">
        <w:rPr>
          <w:szCs w:val="24"/>
          <w:lang w:eastAsia="en-CA"/>
        </w:rPr>
        <w:t xml:space="preserve"> after the ban and </w:t>
      </w:r>
      <w:r w:rsidRPr="00706893">
        <w:rPr>
          <w:i/>
          <w:szCs w:val="24"/>
          <w:lang w:eastAsia="en-CA"/>
        </w:rPr>
        <w:t>BD</w:t>
      </w:r>
      <w:r w:rsidRPr="00706893">
        <w:rPr>
          <w:i/>
          <w:szCs w:val="24"/>
          <w:vertAlign w:val="subscript"/>
          <w:lang w:eastAsia="en-CA"/>
        </w:rPr>
        <w:t>i</w:t>
      </w:r>
      <w:r w:rsidRPr="00706893">
        <w:rPr>
          <w:szCs w:val="24"/>
          <w:lang w:eastAsia="en-CA"/>
        </w:rPr>
        <w:t xml:space="preserve"> is the </w:t>
      </w:r>
      <w:r>
        <w:rPr>
          <w:szCs w:val="24"/>
          <w:lang w:eastAsia="en-CA"/>
        </w:rPr>
        <w:t xml:space="preserve">mean </w:t>
      </w:r>
      <w:r w:rsidRPr="00706893">
        <w:rPr>
          <w:szCs w:val="24"/>
          <w:lang w:eastAsia="en-CA"/>
        </w:rPr>
        <w:t xml:space="preserve">cumulative difference between actual and estimated returns for stock </w:t>
      </w:r>
      <w:r w:rsidRPr="00706893">
        <w:rPr>
          <w:i/>
          <w:szCs w:val="24"/>
          <w:lang w:eastAsia="en-CA"/>
        </w:rPr>
        <w:t>i</w:t>
      </w:r>
      <w:r w:rsidRPr="00706893">
        <w:rPr>
          <w:szCs w:val="24"/>
          <w:lang w:eastAsia="en-CA"/>
        </w:rPr>
        <w:t xml:space="preserve"> during the ban period.  Under the null hypothesis</w:t>
      </w:r>
      <w:r>
        <w:rPr>
          <w:szCs w:val="24"/>
          <w:lang w:eastAsia="en-CA"/>
        </w:rPr>
        <w:t>,</w:t>
      </w:r>
      <w:r w:rsidRPr="00706893">
        <w:rPr>
          <w:szCs w:val="24"/>
          <w:lang w:eastAsia="en-CA"/>
        </w:rPr>
        <w:t xml:space="preserve"> the cumulative difference between actual and estimated returns follows a random walk during the post ban period, culminating in a value not statistically unique to zero.  Under the alternative hypothesis, the cumulative difference follows a negative trend </w:t>
      </w:r>
      <w:r>
        <w:rPr>
          <w:szCs w:val="24"/>
          <w:lang w:eastAsia="en-CA"/>
        </w:rPr>
        <w:t xml:space="preserve">in the post-ban period, </w:t>
      </w:r>
      <w:r w:rsidRPr="00706893">
        <w:rPr>
          <w:szCs w:val="24"/>
          <w:lang w:eastAsia="en-CA"/>
        </w:rPr>
        <w:t xml:space="preserve">ultimately </w:t>
      </w:r>
      <w:r w:rsidR="00521A8A">
        <w:rPr>
          <w:szCs w:val="24"/>
          <w:lang w:eastAsia="en-CA"/>
        </w:rPr>
        <w:t>reversing</w:t>
      </w:r>
      <w:r w:rsidRPr="00706893">
        <w:rPr>
          <w:szCs w:val="24"/>
          <w:lang w:eastAsia="en-CA"/>
        </w:rPr>
        <w:t xml:space="preserve"> the inflation impounded in stock prices during the ban.</w:t>
      </w:r>
    </w:p>
    <w:p w:rsidR="00F42757" w:rsidRDefault="00BA7929" w:rsidP="00420E8F">
      <w:pPr>
        <w:pStyle w:val="BodyText"/>
        <w:ind w:firstLine="0"/>
        <w:jc w:val="both"/>
      </w:pPr>
      <w:r>
        <w:rPr>
          <w:szCs w:val="24"/>
          <w:lang w:eastAsia="en-CA"/>
        </w:rPr>
        <w:tab/>
      </w:r>
      <w:r w:rsidRPr="00706893">
        <w:t xml:space="preserve">Panel A of Figure </w:t>
      </w:r>
      <w:r w:rsidR="00F42757">
        <w:t>5</w:t>
      </w:r>
      <w:r w:rsidRPr="00706893">
        <w:t xml:space="preserve"> displays the value-weighted, mean cumulative difference between actual and estimated returns in the post-ban period</w:t>
      </w:r>
      <w:r w:rsidR="00F42757">
        <w:t xml:space="preserve"> for the aggregate sample and subsamples </w:t>
      </w:r>
      <w:r w:rsidR="00132E73">
        <w:t>weighted</w:t>
      </w:r>
      <w:r w:rsidR="00F42757">
        <w:t xml:space="preserve"> by performance in the six months preceding the ban</w:t>
      </w:r>
      <w:r>
        <w:t>.</w:t>
      </w:r>
      <w:r w:rsidR="00F42757">
        <w:t xml:space="preserve">  For each sample, the cumulative difference is </w:t>
      </w:r>
      <w:r w:rsidR="00132E73">
        <w:t xml:space="preserve">initially </w:t>
      </w:r>
      <w:r w:rsidR="00F42757">
        <w:t xml:space="preserve">set to the value at the end of the ban.  Focusing first on the aggregate sample, we find that </w:t>
      </w:r>
      <w:r w:rsidR="00132E73">
        <w:t xml:space="preserve">short-sale ban related </w:t>
      </w:r>
      <w:r w:rsidR="00F42757">
        <w:t xml:space="preserve">inflation was sustained until mid-December, 2008.  </w:t>
      </w:r>
      <w:r w:rsidR="00D310D0">
        <w:t>Panel</w:t>
      </w:r>
      <w:r w:rsidR="00F42757">
        <w:t xml:space="preserve"> B presents test statistics to more accurately determine the date in which the difference between the estimated and actual return series </w:t>
      </w:r>
      <w:r w:rsidR="00D310D0">
        <w:t>become</w:t>
      </w:r>
      <w:r w:rsidR="00420E8F">
        <w:t>s</w:t>
      </w:r>
      <w:r w:rsidR="00D310D0">
        <w:t xml:space="preserve"> </w:t>
      </w:r>
      <w:r w:rsidR="00F42757">
        <w:t xml:space="preserve">statistically indistinguishable from zero.  The </w:t>
      </w:r>
      <w:r w:rsidR="00F42757" w:rsidRPr="007B36CC">
        <w:rPr>
          <w:i/>
        </w:rPr>
        <w:t>t</w:t>
      </w:r>
      <w:r w:rsidR="00F42757">
        <w:t xml:space="preserve">-statistic of both tests remains in excess of 2.0 until December 17 or 18, 2008 (depending on the test) suggesting the null hypothesis cannot be rejected with 95% confidence (correction of ban inflation has occurred) until 49 trading days after the ban.  </w:t>
      </w:r>
      <w:r w:rsidR="00F42757" w:rsidRPr="00706893">
        <w:t xml:space="preserve">It would be expected that any reversal in ban period inflation would occur rapidly once the ban </w:t>
      </w:r>
      <w:r w:rsidR="00F42757">
        <w:t>i</w:t>
      </w:r>
      <w:r w:rsidR="00F42757" w:rsidRPr="00706893">
        <w:t xml:space="preserve">s lifted or at least in a period </w:t>
      </w:r>
      <w:r w:rsidR="00F42757">
        <w:t>similar</w:t>
      </w:r>
      <w:r w:rsidR="00F42757" w:rsidRPr="00706893">
        <w:t xml:space="preserve"> to the inflation accumulation period.  </w:t>
      </w:r>
      <w:r w:rsidR="00F42757">
        <w:t>In short, in aggregate, we find that inflation realized during the ban was sustained at least to the end of 2008 and the timing of the reversal is inconsistent with reversal of ban</w:t>
      </w:r>
      <w:r w:rsidR="00B90CF7">
        <w:t>-</w:t>
      </w:r>
      <w:r w:rsidR="00F42757">
        <w:t>related price inflation.</w:t>
      </w:r>
    </w:p>
    <w:p w:rsidR="00BA7929" w:rsidRDefault="00BA7929" w:rsidP="00420E8F">
      <w:pPr>
        <w:pStyle w:val="BodyText"/>
        <w:jc w:val="both"/>
      </w:pPr>
      <w:r w:rsidRPr="00706893">
        <w:t xml:space="preserve">To examine post-ban </w:t>
      </w:r>
      <w:r>
        <w:t>returns</w:t>
      </w:r>
      <w:r w:rsidRPr="00706893">
        <w:t xml:space="preserve"> in more detail</w:t>
      </w:r>
      <w:r w:rsidR="009F6DE9">
        <w:t>,</w:t>
      </w:r>
      <w:r w:rsidRPr="00706893">
        <w:t xml:space="preserve"> we sort the banned stock sub-sample by pre-ban performance.  When the SEC selected stocks for inclusion in the ban, the foundation of the list was financial sector SIC codes, with no consideration of stock performance.  While on average</w:t>
      </w:r>
      <w:r w:rsidR="003E785C">
        <w:t>,</w:t>
      </w:r>
      <w:r w:rsidRPr="00706893">
        <w:t xml:space="preserve"> financial sector stock</w:t>
      </w:r>
      <w:r>
        <w:t>s</w:t>
      </w:r>
      <w:r w:rsidRPr="00706893">
        <w:t xml:space="preserve"> realized negative returns prior to the ban, negative performance was not pervasive.  Only stocks with highly negative returns before the ban would be at risk of liquidity </w:t>
      </w:r>
      <w:r w:rsidR="00521A8A">
        <w:t>price</w:t>
      </w:r>
      <w:r w:rsidR="00147524">
        <w:t>-spirals</w:t>
      </w:r>
      <w:r w:rsidRPr="00706893">
        <w:t xml:space="preserve"> and </w:t>
      </w:r>
      <w:r>
        <w:t>be likely candidates for price manipulation by short-</w:t>
      </w:r>
      <w:r w:rsidRPr="00706893">
        <w:t xml:space="preserve">sellers.  </w:t>
      </w:r>
      <w:r>
        <w:t xml:space="preserve">It is also these stocks for which negative information or investor sentiment would most likely be excluded from the market during the short-sale ban, contributing to transitory price inflation.  </w:t>
      </w:r>
      <w:r w:rsidRPr="00706893">
        <w:t>It is not clear</w:t>
      </w:r>
      <w:r>
        <w:t xml:space="preserve"> what effect, if any, the short-</w:t>
      </w:r>
      <w:r w:rsidRPr="00706893">
        <w:t>sale ban would have</w:t>
      </w:r>
      <w:r w:rsidR="00586089">
        <w:t xml:space="preserve"> had</w:t>
      </w:r>
      <w:r w:rsidRPr="00706893">
        <w:t xml:space="preserve"> on stocks experiencing relatively positive investor sentiment.  To examine the differential effect of the short-sale ban on negatively and positively performing stocks we utilize two additional weighting factors.  The negative performance weighting factor is equal to the absolute six month return prior to the ban, with the weighting factor set to zero for stocks which realized a positive return in th</w:t>
      </w:r>
      <w:r>
        <w:t>at</w:t>
      </w:r>
      <w:r w:rsidRPr="00706893">
        <w:t xml:space="preserve"> period.  The positive performance factor is calculated in the same way but the weighting factor is set to zero for stocks which realized a negative return in the six months prior to the ban.</w:t>
      </w:r>
      <w:r w:rsidRPr="00706893">
        <w:rPr>
          <w:rStyle w:val="FootnoteReference"/>
        </w:rPr>
        <w:footnoteReference w:id="18"/>
      </w:r>
      <w:r w:rsidR="00521A8A">
        <w:t xml:space="preserve">  As previously discussed, we hypothesize these weighting factors will capture aggregate exposure to crisis risk factors across stocks. </w:t>
      </w:r>
    </w:p>
    <w:p w:rsidR="000E088B" w:rsidRDefault="000E088B" w:rsidP="00420E8F">
      <w:pPr>
        <w:pStyle w:val="BodyText"/>
        <w:jc w:val="both"/>
      </w:pPr>
      <w:r>
        <w:t xml:space="preserve">Returning to Panel A of Figure 5, although the magnitude of inflation was similar for the positive and negative performance-weighted subsamples (10%), inflation is sustained at, or above, that level for the positive performing stocks.  In contrast, inflation is </w:t>
      </w:r>
      <w:r w:rsidR="00132E73">
        <w:t>reversed for the negative performance-weighted index</w:t>
      </w:r>
      <w:r>
        <w:t xml:space="preserve"> approximately 2 weeks after the ban.  Panel C reports the test statistic results for the negative performance-weighted index</w:t>
      </w:r>
      <w:r w:rsidR="007D4BE9">
        <w:t>.  F</w:t>
      </w:r>
      <w:r>
        <w:t>or stocks with negative pre-ban performance</w:t>
      </w:r>
      <w:r w:rsidR="007D4BE9">
        <w:t>,</w:t>
      </w:r>
      <w:r>
        <w:t xml:space="preserve"> the null hypothesis can be rejected with 95% confidence (suggesting full correction) 8 or 16 days following the ban based on the SCS or </w:t>
      </w:r>
      <w:r w:rsidRPr="000718B3">
        <w:rPr>
          <w:i/>
        </w:rPr>
        <w:t>t</w:t>
      </w:r>
      <w:r>
        <w:t xml:space="preserve">-test results, respectively.  With the exception of 2 days, the </w:t>
      </w:r>
      <w:r w:rsidRPr="00DB514B">
        <w:rPr>
          <w:i/>
        </w:rPr>
        <w:t>t</w:t>
      </w:r>
      <w:r>
        <w:t>-test statistic remains between 2.0 and -2.0 for the entire remainder of the post-ban period.  Results are similar for the SCS test statistic</w:t>
      </w:r>
      <w:r w:rsidR="00075ACB">
        <w:t xml:space="preserve">.  </w:t>
      </w:r>
      <w:r>
        <w:t xml:space="preserve">However, during the month of November, the </w:t>
      </w:r>
      <w:r w:rsidRPr="002F5196">
        <w:t>test statistic</w:t>
      </w:r>
      <w:r>
        <w:t xml:space="preserve"> drops slightly below -2.0 on several occasions and stays below      </w:t>
      </w:r>
      <w:smartTag w:uri="urn:schemas-microsoft-com:office:smarttags" w:element="metricconverter">
        <w:smartTagPr>
          <w:attr w:name="ProductID" w:val="-2.0 in"/>
        </w:smartTagPr>
        <w:r>
          <w:t>-2.0 in</w:t>
        </w:r>
      </w:smartTag>
      <w:r>
        <w:t xml:space="preserve"> December suggesting the null hypothesis cannot be rejected two months following the ban.  As previously discussed, given the blended source of the volatility change coincidental with the ban, the true value of the test statistic likely lies somewhere between the two extremes of the </w:t>
      </w:r>
      <w:r w:rsidRPr="00DB514B">
        <w:rPr>
          <w:i/>
        </w:rPr>
        <w:t>t</w:t>
      </w:r>
      <w:r>
        <w:t>-test and SCS test statistics.</w:t>
      </w:r>
    </w:p>
    <w:p w:rsidR="00BA7929" w:rsidRDefault="00BA7929" w:rsidP="00420E8F">
      <w:pPr>
        <w:pStyle w:val="BodyText"/>
        <w:jc w:val="both"/>
      </w:pPr>
      <w:r w:rsidRPr="00706893">
        <w:t xml:space="preserve">To obtain an estimate of the dollar cost of the inflation to buyers during the ban period, for each banned stock on each day during the ban, we compute the product of our estimate of the percentage inflation in that stock </w:t>
      </w:r>
      <w:r>
        <w:t>multiplied by</w:t>
      </w:r>
      <w:r w:rsidRPr="00706893">
        <w:t xml:space="preserve"> the dollar value of volume in </w:t>
      </w:r>
      <w:r w:rsidR="00455E49">
        <w:t>the same</w:t>
      </w:r>
      <w:r w:rsidRPr="00706893">
        <w:t xml:space="preserve"> stock.</w:t>
      </w:r>
      <w:r w:rsidRPr="00706893">
        <w:rPr>
          <w:rStyle w:val="FootnoteReference"/>
        </w:rPr>
        <w:footnoteReference w:id="19"/>
      </w:r>
      <w:r w:rsidRPr="00706893">
        <w:t xml:space="preserve">  Summing this measure over all banned securities gives a total dollar value of inflation of $4.9 billion.</w:t>
      </w:r>
      <w:r w:rsidR="007D4BE9">
        <w:t xml:space="preserve"> </w:t>
      </w:r>
      <w:r w:rsidRPr="00706893">
        <w:t xml:space="preserve"> If only the sub-sample of stocks with negative pre-ban performance is considered, the total dollar value of inflation is estimated to be $2.3 billion.  As discussed above, this measure is likely biased downwards by the price effects of speculators who traded </w:t>
      </w:r>
      <w:r w:rsidR="00455E49">
        <w:t>on the basis of potential</w:t>
      </w:r>
      <w:r w:rsidRPr="00706893">
        <w:t xml:space="preserve"> on differences in the valuations of the banned and not-banned stocks.  </w:t>
      </w:r>
      <w:r>
        <w:t>Regardless of whether</w:t>
      </w:r>
      <w:r w:rsidR="00455E49">
        <w:t xml:space="preserve"> or not</w:t>
      </w:r>
      <w:r>
        <w:t xml:space="preserve"> the full banned stock sample or just the negative performance stocks are considered, t</w:t>
      </w:r>
      <w:r w:rsidRPr="00706893">
        <w:t xml:space="preserve">his wealth transfer is of sufficient size that it should concern public policy makers at the SEC and elsewhere. </w:t>
      </w:r>
    </w:p>
    <w:p w:rsidR="00C87B9D" w:rsidRDefault="00C87B9D" w:rsidP="00AC7EB4">
      <w:pPr>
        <w:pStyle w:val="BodyText"/>
        <w:jc w:val="both"/>
      </w:pPr>
    </w:p>
    <w:p w:rsidR="00BA7929" w:rsidRPr="006B4CC9" w:rsidRDefault="00BA7929" w:rsidP="00AC7EB4">
      <w:pPr>
        <w:pStyle w:val="Heading1"/>
        <w:numPr>
          <w:ilvl w:val="0"/>
          <w:numId w:val="2"/>
        </w:numPr>
        <w:jc w:val="both"/>
        <w:rPr>
          <w:rFonts w:ascii="Times New Roman" w:hAnsi="Times New Roman" w:cs="Times New Roman"/>
          <w:sz w:val="24"/>
          <w:szCs w:val="24"/>
        </w:rPr>
      </w:pPr>
      <w:r>
        <w:rPr>
          <w:rFonts w:ascii="Times New Roman" w:hAnsi="Times New Roman" w:cs="Times New Roman"/>
          <w:sz w:val="24"/>
          <w:szCs w:val="24"/>
        </w:rPr>
        <w:t>Conclusion</w:t>
      </w:r>
    </w:p>
    <w:p w:rsidR="00BA7929" w:rsidRPr="00706893" w:rsidRDefault="00BA7929" w:rsidP="00AC7EB4">
      <w:pPr>
        <w:jc w:val="both"/>
      </w:pPr>
    </w:p>
    <w:p w:rsidR="00BA7929" w:rsidRPr="00706893" w:rsidRDefault="00BA7929" w:rsidP="00420E8F">
      <w:pPr>
        <w:pStyle w:val="BodyText"/>
        <w:jc w:val="both"/>
      </w:pPr>
      <w:r w:rsidRPr="00706893">
        <w:t xml:space="preserve">The analyses in this paper indicate that the short-sale ban imposed by the SEC on financial stocks in September 2008 inflated prices relative to where they likely would have traded without the ban.  Although speculating on counterfactuals is always difficult, we believe that our factor-analytic model provides a reasonable lower bound on the degree of price inflation that occurred.  Our model estimates common daily valuation factors using the sample of stocks that were not banned and uses this information to estimate returns for the banned stocks.  </w:t>
      </w:r>
    </w:p>
    <w:p w:rsidR="00675223" w:rsidRDefault="00BA7929" w:rsidP="00420E8F">
      <w:pPr>
        <w:pStyle w:val="BodyText"/>
        <w:jc w:val="both"/>
        <w:rPr>
          <w:b/>
          <w:bCs/>
          <w:kern w:val="32"/>
          <w:szCs w:val="24"/>
        </w:rPr>
      </w:pPr>
      <w:r w:rsidRPr="00706893">
        <w:t xml:space="preserve">The ability to confidently identify trading effects in a one-shot event study in the midst of so much volatility is quite challenging. We believe that we have substantially improved our inferences through the use of our factor model, but the results are not definitive.  In particular, if during the ban period, factors that we did not model affected the banned stocks but not the other stocks, the inflation we identify could be due to those factors. Foremost among such factors would be concerns about the then pending TARP legislation.  Our results, however, suggest that </w:t>
      </w:r>
      <w:r w:rsidR="003C3A6E">
        <w:t>TARP w</w:t>
      </w:r>
      <w:r w:rsidRPr="00706893">
        <w:t>as not a significant factor</w:t>
      </w:r>
      <w:r w:rsidR="00455E49">
        <w:t xml:space="preserve"> in the outcome</w:t>
      </w:r>
      <w:r w:rsidR="005C220A">
        <w:t xml:space="preserve">.  </w:t>
      </w:r>
      <w:r w:rsidRPr="00706893">
        <w:t xml:space="preserve">Assuming that the price effects that we document are indeed due to the ban, we estimate that buyers paid $4.9 billion more for the banned stocks than they otherwise would have.  Focusing only on stocks with negative pre-ban performance, for which we find </w:t>
      </w:r>
      <w:r>
        <w:t xml:space="preserve">more conclusive evidence of a </w:t>
      </w:r>
      <w:r w:rsidR="005C220A">
        <w:t xml:space="preserve">more immediate </w:t>
      </w:r>
      <w:r>
        <w:t>post-ban reversal of</w:t>
      </w:r>
      <w:r w:rsidRPr="00706893">
        <w:t xml:space="preserve"> inflation, the total dollar value of inflation is estimated to be $2.3 billion.  </w:t>
      </w:r>
      <w:r w:rsidR="003C3A6E">
        <w:t xml:space="preserve">Our results suggest that the short-sale ban was, to a degree, effective </w:t>
      </w:r>
      <w:r w:rsidR="00F61FB6">
        <w:t>at</w:t>
      </w:r>
      <w:r w:rsidR="003C3A6E">
        <w:t xml:space="preserve"> stabilizing prices for a segment of the market.  However, for stocks at the center of the crisis, which suffered substantial reductions in market value preceding, during</w:t>
      </w:r>
      <w:r w:rsidR="00D310D0">
        <w:t>,</w:t>
      </w:r>
      <w:r w:rsidR="003C3A6E">
        <w:t xml:space="preserve"> and following the ban, the ban appears to have had limited efficacy as for this subset of stocks</w:t>
      </w:r>
      <w:r w:rsidR="00D310D0">
        <w:t>,</w:t>
      </w:r>
      <w:r w:rsidR="003C3A6E">
        <w:t xml:space="preserve"> price inflation corrected shortly following the ban</w:t>
      </w:r>
      <w:r w:rsidR="00D310D0">
        <w:t>.</w:t>
      </w:r>
    </w:p>
    <w:p w:rsidR="000E088B" w:rsidRDefault="000E088B">
      <w:pPr>
        <w:rPr>
          <w:b/>
          <w:bCs/>
          <w:kern w:val="32"/>
          <w:szCs w:val="24"/>
        </w:rPr>
      </w:pPr>
      <w:bookmarkStart w:id="3" w:name="ZEBlock"/>
      <w:bookmarkEnd w:id="3"/>
      <w:r>
        <w:rPr>
          <w:szCs w:val="24"/>
        </w:rPr>
        <w:br w:type="page"/>
      </w:r>
    </w:p>
    <w:p w:rsidR="00BA7929" w:rsidRPr="00BA7929" w:rsidRDefault="00FA21DE" w:rsidP="00602A3A">
      <w:pPr>
        <w:pStyle w:val="Heading1"/>
        <w:jc w:val="both"/>
        <w:rPr>
          <w:rFonts w:ascii="Times New Roman" w:hAnsi="Times New Roman" w:cs="Times New Roman"/>
          <w:sz w:val="24"/>
          <w:szCs w:val="24"/>
        </w:rPr>
      </w:pPr>
      <w:r>
        <w:rPr>
          <w:rFonts w:ascii="Times New Roman" w:hAnsi="Times New Roman" w:cs="Times New Roman"/>
          <w:sz w:val="24"/>
          <w:szCs w:val="24"/>
        </w:rPr>
        <w:t>References</w:t>
      </w:r>
    </w:p>
    <w:p w:rsidR="00BA7929" w:rsidRPr="00706893" w:rsidRDefault="00BA7929" w:rsidP="00651D74">
      <w:pPr>
        <w:pStyle w:val="Reference"/>
        <w:spacing w:before="0" w:after="0" w:line="240" w:lineRule="auto"/>
      </w:pPr>
    </w:p>
    <w:p w:rsidR="00BA7929" w:rsidRPr="00706893" w:rsidRDefault="00BA7929" w:rsidP="007306B5">
      <w:pPr>
        <w:autoSpaceDE w:val="0"/>
        <w:autoSpaceDN w:val="0"/>
        <w:adjustRightInd w:val="0"/>
        <w:ind w:left="709" w:hanging="709"/>
        <w:jc w:val="both"/>
      </w:pPr>
      <w:r w:rsidRPr="00706893">
        <w:t>Amihud, Y.</w:t>
      </w:r>
      <w:r w:rsidR="00810DCD">
        <w:t>,</w:t>
      </w:r>
      <w:r w:rsidRPr="00706893">
        <w:t xml:space="preserve"> 2002</w:t>
      </w:r>
      <w:r w:rsidR="00810DCD">
        <w:t>,</w:t>
      </w:r>
      <w:r w:rsidRPr="00706893">
        <w:t xml:space="preserve"> Illiquidity and stock returns: cross-section and time-series effects, </w:t>
      </w:r>
      <w:r w:rsidRPr="00706893">
        <w:rPr>
          <w:i/>
        </w:rPr>
        <w:t>Journal of Financial Markets</w:t>
      </w:r>
      <w:r w:rsidRPr="00706893">
        <w:t xml:space="preserve"> 5</w:t>
      </w:r>
      <w:r w:rsidR="00810DCD">
        <w:t>,</w:t>
      </w:r>
      <w:r w:rsidRPr="00706893">
        <w:t xml:space="preserve"> 31-56.</w:t>
      </w:r>
    </w:p>
    <w:p w:rsidR="00BA7929" w:rsidRPr="00706893" w:rsidRDefault="00BA7929" w:rsidP="007306B5">
      <w:pPr>
        <w:autoSpaceDE w:val="0"/>
        <w:autoSpaceDN w:val="0"/>
        <w:adjustRightInd w:val="0"/>
        <w:ind w:left="709" w:hanging="709"/>
        <w:jc w:val="both"/>
        <w:rPr>
          <w:color w:val="000000"/>
          <w:szCs w:val="24"/>
          <w:lang w:eastAsia="en-CA"/>
        </w:rPr>
      </w:pPr>
    </w:p>
    <w:p w:rsidR="00BA7929" w:rsidRPr="00706893" w:rsidRDefault="00BA7929" w:rsidP="007306B5">
      <w:pPr>
        <w:autoSpaceDE w:val="0"/>
        <w:autoSpaceDN w:val="0"/>
        <w:adjustRightInd w:val="0"/>
        <w:ind w:left="709" w:hanging="709"/>
        <w:jc w:val="both"/>
      </w:pPr>
      <w:r w:rsidRPr="00706893">
        <w:t>Asquith, P.</w:t>
      </w:r>
      <w:r w:rsidR="002F7C1A" w:rsidRPr="00706893">
        <w:t xml:space="preserve">, P.A. </w:t>
      </w:r>
      <w:r w:rsidRPr="00706893">
        <w:t xml:space="preserve">Pathak, and </w:t>
      </w:r>
      <w:r w:rsidR="002F7C1A" w:rsidRPr="00706893">
        <w:t>J.R.</w:t>
      </w:r>
      <w:r w:rsidR="002F7C1A">
        <w:t xml:space="preserve"> </w:t>
      </w:r>
      <w:r w:rsidRPr="00706893">
        <w:t>Ritter, 2005</w:t>
      </w:r>
      <w:r w:rsidR="00810DCD">
        <w:t>,</w:t>
      </w:r>
      <w:r w:rsidRPr="00706893">
        <w:t xml:space="preserve"> Short interest, institutional ownership and stock returns</w:t>
      </w:r>
      <w:r w:rsidR="00810DCD">
        <w:t>,</w:t>
      </w:r>
      <w:r w:rsidRPr="00706893">
        <w:t xml:space="preserve">  </w:t>
      </w:r>
      <w:r w:rsidRPr="00706893">
        <w:rPr>
          <w:i/>
        </w:rPr>
        <w:t>Journal of Financial Economics</w:t>
      </w:r>
      <w:r w:rsidRPr="00706893">
        <w:t xml:space="preserve"> 78</w:t>
      </w:r>
      <w:r w:rsidR="00810DCD">
        <w:t>,</w:t>
      </w:r>
      <w:r w:rsidRPr="00706893">
        <w:t xml:space="preserve"> 243-276.</w:t>
      </w:r>
    </w:p>
    <w:p w:rsidR="00BA7929" w:rsidRPr="00706893" w:rsidRDefault="00BA7929" w:rsidP="007306B5">
      <w:pPr>
        <w:pStyle w:val="Reference"/>
        <w:spacing w:before="0" w:after="0" w:line="240" w:lineRule="auto"/>
        <w:jc w:val="both"/>
      </w:pPr>
    </w:p>
    <w:p w:rsidR="00BA7929" w:rsidRDefault="00BA7929" w:rsidP="007306B5">
      <w:pPr>
        <w:pStyle w:val="Reference"/>
        <w:spacing w:before="0" w:after="0" w:line="240" w:lineRule="auto"/>
        <w:jc w:val="both"/>
      </w:pPr>
      <w:r>
        <w:t xml:space="preserve">Bayazitova, D. and </w:t>
      </w:r>
      <w:r w:rsidR="002F7C1A">
        <w:t xml:space="preserve">A. </w:t>
      </w:r>
      <w:r>
        <w:t>Shivdasani, 20</w:t>
      </w:r>
      <w:r w:rsidR="000C46E4">
        <w:t>1</w:t>
      </w:r>
      <w:r w:rsidR="00602A3A">
        <w:t>2</w:t>
      </w:r>
      <w:r w:rsidR="00810DCD">
        <w:t>,</w:t>
      </w:r>
      <w:r>
        <w:t xml:space="preserve"> Assessing TARP</w:t>
      </w:r>
      <w:r w:rsidR="00810DCD">
        <w:t>,</w:t>
      </w:r>
      <w:r>
        <w:t xml:space="preserve"> </w:t>
      </w:r>
      <w:r w:rsidR="000C46E4" w:rsidRPr="000C46E4">
        <w:rPr>
          <w:i/>
        </w:rPr>
        <w:t>Review of Financial Studies</w:t>
      </w:r>
      <w:r w:rsidR="000C46E4">
        <w:t xml:space="preserve"> </w:t>
      </w:r>
      <w:r w:rsidR="00602A3A">
        <w:t>25, 377-407</w:t>
      </w:r>
      <w:r>
        <w:t>.</w:t>
      </w:r>
    </w:p>
    <w:p w:rsidR="00BA7929" w:rsidRDefault="00BA7929" w:rsidP="007306B5">
      <w:pPr>
        <w:pStyle w:val="Reference"/>
        <w:spacing w:before="0" w:after="0" w:line="240" w:lineRule="auto"/>
        <w:jc w:val="both"/>
      </w:pPr>
    </w:p>
    <w:p w:rsidR="00BA7929" w:rsidRDefault="00792994" w:rsidP="007306B5">
      <w:pPr>
        <w:pStyle w:val="Reference"/>
        <w:spacing w:before="0" w:after="0" w:line="240" w:lineRule="auto"/>
        <w:jc w:val="both"/>
      </w:pPr>
      <w:r>
        <w:t>Batt</w:t>
      </w:r>
      <w:r w:rsidR="00BA7929">
        <w:t xml:space="preserve">alio, R. and </w:t>
      </w:r>
      <w:r w:rsidR="00A1796D">
        <w:t xml:space="preserve">P. </w:t>
      </w:r>
      <w:r w:rsidR="00BA7929">
        <w:t>Schultz, 201</w:t>
      </w:r>
      <w:r w:rsidR="000C46E4">
        <w:t>1</w:t>
      </w:r>
      <w:r w:rsidR="00810DCD">
        <w:t>,</w:t>
      </w:r>
      <w:r w:rsidR="00BA7929">
        <w:t xml:space="preserve"> Regulatory uncertainty and market liquidity: The 2008 </w:t>
      </w:r>
      <w:r w:rsidR="00F92C41">
        <w:t>short-sale</w:t>
      </w:r>
      <w:r w:rsidR="00BA7929">
        <w:t xml:space="preserve"> ban's impact on equity options markets</w:t>
      </w:r>
      <w:r w:rsidR="00810DCD">
        <w:t>,</w:t>
      </w:r>
      <w:r w:rsidR="00BA7929">
        <w:t xml:space="preserve"> </w:t>
      </w:r>
      <w:r w:rsidR="000C46E4" w:rsidRPr="000C46E4">
        <w:rPr>
          <w:i/>
        </w:rPr>
        <w:t>Journal of Finance</w:t>
      </w:r>
      <w:r w:rsidR="002F7C1A">
        <w:t xml:space="preserve"> 66, 2013-2053</w:t>
      </w:r>
      <w:r w:rsidR="00BA7929">
        <w:t>.</w:t>
      </w:r>
    </w:p>
    <w:p w:rsidR="00BA7929" w:rsidRDefault="00BA7929" w:rsidP="007306B5">
      <w:pPr>
        <w:pStyle w:val="Reference"/>
        <w:spacing w:before="0" w:after="0" w:line="240" w:lineRule="auto"/>
        <w:jc w:val="both"/>
      </w:pPr>
    </w:p>
    <w:p w:rsidR="000C46E4" w:rsidRDefault="00BA7929" w:rsidP="007306B5">
      <w:pPr>
        <w:pStyle w:val="Reference"/>
        <w:spacing w:before="0" w:after="0" w:line="240" w:lineRule="auto"/>
        <w:jc w:val="both"/>
      </w:pPr>
      <w:r>
        <w:t xml:space="preserve">Beber, A. and </w:t>
      </w:r>
      <w:r w:rsidR="00A1796D">
        <w:t xml:space="preserve">M. </w:t>
      </w:r>
      <w:r>
        <w:t>Pagano, 201</w:t>
      </w:r>
      <w:r w:rsidR="00CD0B2A">
        <w:t>2</w:t>
      </w:r>
      <w:r w:rsidR="00810DCD">
        <w:t>,</w:t>
      </w:r>
      <w:r>
        <w:t xml:space="preserve"> Short-selling bans around the world: Evidence from the 2007-09 crisis</w:t>
      </w:r>
      <w:r w:rsidR="00810DCD">
        <w:t>,</w:t>
      </w:r>
      <w:r>
        <w:t xml:space="preserve"> </w:t>
      </w:r>
      <w:r w:rsidR="000C46E4" w:rsidRPr="000C46E4">
        <w:rPr>
          <w:i/>
        </w:rPr>
        <w:t>Journal of Finance</w:t>
      </w:r>
      <w:r w:rsidR="000C46E4">
        <w:t>,</w:t>
      </w:r>
      <w:r w:rsidR="002F7C1A">
        <w:t xml:space="preserve"> forthcoming</w:t>
      </w:r>
      <w:r w:rsidR="000C46E4">
        <w:t>.</w:t>
      </w:r>
    </w:p>
    <w:p w:rsidR="00BA7929" w:rsidRDefault="00BA7929" w:rsidP="007306B5">
      <w:pPr>
        <w:pStyle w:val="Reference"/>
        <w:spacing w:before="0" w:after="0" w:line="240" w:lineRule="auto"/>
        <w:jc w:val="both"/>
      </w:pPr>
    </w:p>
    <w:p w:rsidR="00BA7929" w:rsidRPr="00F526C7" w:rsidRDefault="00BA7929" w:rsidP="007306B5">
      <w:pPr>
        <w:widowControl w:val="0"/>
        <w:autoSpaceDE w:val="0"/>
        <w:autoSpaceDN w:val="0"/>
        <w:adjustRightInd w:val="0"/>
        <w:ind w:left="720" w:hanging="720"/>
        <w:contextualSpacing/>
        <w:jc w:val="both"/>
        <w:rPr>
          <w:szCs w:val="24"/>
        </w:rPr>
      </w:pPr>
      <w:r w:rsidRPr="00706893">
        <w:t xml:space="preserve">Boehmer, E., </w:t>
      </w:r>
      <w:r w:rsidR="00A1796D" w:rsidRPr="00706893">
        <w:t xml:space="preserve">C.M. </w:t>
      </w:r>
      <w:r w:rsidR="00A1796D">
        <w:t>Jones</w:t>
      </w:r>
      <w:r w:rsidRPr="00706893">
        <w:t xml:space="preserve"> and </w:t>
      </w:r>
      <w:r w:rsidR="00A1796D" w:rsidRPr="00706893">
        <w:t>X.</w:t>
      </w:r>
      <w:r w:rsidR="00A1796D">
        <w:t xml:space="preserve"> </w:t>
      </w:r>
      <w:r w:rsidRPr="00706893">
        <w:t>Zhang, 200</w:t>
      </w:r>
      <w:r w:rsidR="005F143D">
        <w:t>9</w:t>
      </w:r>
      <w:r w:rsidR="00810DCD">
        <w:t>,</w:t>
      </w:r>
      <w:r w:rsidRPr="00706893">
        <w:t xml:space="preserve"> Shackling short-sellers: The 2008 shorting ban, </w:t>
      </w:r>
      <w:r w:rsidR="00F526C7" w:rsidRPr="00102EF6">
        <w:rPr>
          <w:szCs w:val="24"/>
        </w:rPr>
        <w:t>Unpublished</w:t>
      </w:r>
      <w:r w:rsidR="00F526C7">
        <w:rPr>
          <w:szCs w:val="24"/>
        </w:rPr>
        <w:t xml:space="preserve"> working paper</w:t>
      </w:r>
      <w:r w:rsidRPr="00706893">
        <w:t>.</w:t>
      </w:r>
    </w:p>
    <w:p w:rsidR="00BA7929" w:rsidRPr="00706893" w:rsidRDefault="00BA7929" w:rsidP="007306B5">
      <w:pPr>
        <w:pStyle w:val="Reference"/>
        <w:spacing w:before="0" w:after="0" w:line="240" w:lineRule="auto"/>
        <w:jc w:val="both"/>
      </w:pPr>
    </w:p>
    <w:p w:rsidR="00BA7929" w:rsidRPr="00706893" w:rsidRDefault="00A1796D" w:rsidP="007306B5">
      <w:pPr>
        <w:pStyle w:val="Reference"/>
        <w:spacing w:before="0" w:after="0" w:line="240" w:lineRule="auto"/>
        <w:jc w:val="both"/>
      </w:pPr>
      <w:r>
        <w:t>Boehmer, E., A. Poulsen</w:t>
      </w:r>
      <w:r w:rsidR="00BA7929" w:rsidRPr="00706893">
        <w:t xml:space="preserve"> and </w:t>
      </w:r>
      <w:r w:rsidRPr="00706893">
        <w:t>J.</w:t>
      </w:r>
      <w:r>
        <w:t xml:space="preserve"> </w:t>
      </w:r>
      <w:r w:rsidR="00BA7929" w:rsidRPr="00706893">
        <w:t>Musumeci, 1991</w:t>
      </w:r>
      <w:r w:rsidR="00810DCD">
        <w:t>,</w:t>
      </w:r>
      <w:r w:rsidR="00BA7929" w:rsidRPr="00706893">
        <w:t xml:space="preserve"> Event study methodology under conditions of event-induced variance</w:t>
      </w:r>
      <w:r w:rsidR="00810DCD">
        <w:t>,</w:t>
      </w:r>
      <w:r w:rsidR="00BA7929" w:rsidRPr="00706893">
        <w:t xml:space="preserve"> </w:t>
      </w:r>
      <w:r w:rsidR="00BA7929" w:rsidRPr="00706893">
        <w:rPr>
          <w:i/>
        </w:rPr>
        <w:t>Journal of Financial Economics</w:t>
      </w:r>
      <w:r w:rsidR="00BA7929" w:rsidRPr="00706893">
        <w:t xml:space="preserve"> 30</w:t>
      </w:r>
      <w:r w:rsidR="00810DCD">
        <w:t>,</w:t>
      </w:r>
      <w:r w:rsidR="00BA7929" w:rsidRPr="00706893">
        <w:t xml:space="preserve"> 253-272.</w:t>
      </w:r>
    </w:p>
    <w:p w:rsidR="00BA7929" w:rsidRPr="00706893" w:rsidRDefault="00BA7929" w:rsidP="007306B5">
      <w:pPr>
        <w:pStyle w:val="Reference"/>
        <w:spacing w:before="0" w:after="0" w:line="240" w:lineRule="auto"/>
        <w:jc w:val="both"/>
      </w:pPr>
    </w:p>
    <w:p w:rsidR="00BA7929" w:rsidRDefault="00A1796D" w:rsidP="007306B5">
      <w:pPr>
        <w:pStyle w:val="Reference"/>
        <w:spacing w:before="0" w:after="0" w:line="240" w:lineRule="auto"/>
        <w:jc w:val="both"/>
      </w:pPr>
      <w:r>
        <w:t xml:space="preserve">Boulton, T.J. and </w:t>
      </w:r>
      <w:r w:rsidRPr="00706893">
        <w:t>M.V.</w:t>
      </w:r>
      <w:r>
        <w:t xml:space="preserve"> </w:t>
      </w:r>
      <w:r w:rsidR="00BA7929" w:rsidRPr="00706893">
        <w:t xml:space="preserve">Braga-Alves, </w:t>
      </w:r>
      <w:r w:rsidR="002F7C1A" w:rsidRPr="00706893">
        <w:t>2010</w:t>
      </w:r>
      <w:r w:rsidR="00810DCD">
        <w:t>,</w:t>
      </w:r>
      <w:r w:rsidR="002F7C1A">
        <w:t xml:space="preserve"> The skinny on the 2008 n</w:t>
      </w:r>
      <w:r w:rsidR="00BA7929" w:rsidRPr="00706893">
        <w:t>aked short-sale restrictions</w:t>
      </w:r>
      <w:r w:rsidR="00810DCD">
        <w:t>,</w:t>
      </w:r>
      <w:r w:rsidR="00BA7929" w:rsidRPr="00706893">
        <w:t xml:space="preserve"> </w:t>
      </w:r>
      <w:r w:rsidR="00902098" w:rsidRPr="00902098">
        <w:rPr>
          <w:i/>
        </w:rPr>
        <w:t>Journal of Financial Markets</w:t>
      </w:r>
      <w:r w:rsidR="000C46E4">
        <w:t xml:space="preserve"> 13</w:t>
      </w:r>
      <w:r w:rsidR="00F526C7">
        <w:t>, 397-421.</w:t>
      </w:r>
    </w:p>
    <w:p w:rsidR="00F526C7" w:rsidRPr="00706893" w:rsidRDefault="00F526C7" w:rsidP="007306B5">
      <w:pPr>
        <w:pStyle w:val="Reference"/>
        <w:spacing w:before="0" w:after="0" w:line="240" w:lineRule="auto"/>
        <w:jc w:val="both"/>
      </w:pPr>
    </w:p>
    <w:p w:rsidR="00BA7929" w:rsidRPr="00706893" w:rsidRDefault="00BA7929" w:rsidP="007306B5">
      <w:pPr>
        <w:pStyle w:val="Reference"/>
        <w:spacing w:before="0" w:after="0" w:line="240" w:lineRule="auto"/>
        <w:jc w:val="both"/>
      </w:pPr>
      <w:r w:rsidRPr="00706893">
        <w:t xml:space="preserve">Bris, A., </w:t>
      </w:r>
      <w:r w:rsidR="00A1796D">
        <w:t>W.N. Goetzmann and N.</w:t>
      </w:r>
      <w:r w:rsidRPr="00706893">
        <w:t xml:space="preserve"> Zhu,</w:t>
      </w:r>
      <w:r w:rsidR="00A1796D">
        <w:t xml:space="preserve"> </w:t>
      </w:r>
      <w:r w:rsidRPr="00706893">
        <w:t>2007</w:t>
      </w:r>
      <w:r w:rsidR="00810DCD">
        <w:t>,</w:t>
      </w:r>
      <w:r w:rsidRPr="00706893">
        <w:t xml:space="preserve"> Efficiency and the bear: short-sales and markets around the world</w:t>
      </w:r>
      <w:r w:rsidR="00810DCD">
        <w:t>,</w:t>
      </w:r>
      <w:r w:rsidRPr="00706893">
        <w:t xml:space="preserve"> </w:t>
      </w:r>
      <w:r w:rsidRPr="00706893">
        <w:rPr>
          <w:i/>
        </w:rPr>
        <w:t>Journal of Finance</w:t>
      </w:r>
      <w:r w:rsidRPr="00706893">
        <w:t xml:space="preserve"> 62</w:t>
      </w:r>
      <w:r w:rsidR="00810DCD">
        <w:t>,</w:t>
      </w:r>
      <w:r w:rsidRPr="00706893">
        <w:t xml:space="preserve"> 1029-1079.</w:t>
      </w:r>
    </w:p>
    <w:p w:rsidR="00BA7929" w:rsidRPr="00706893" w:rsidRDefault="00BA7929" w:rsidP="007306B5">
      <w:pPr>
        <w:pStyle w:val="Reference"/>
        <w:spacing w:before="0" w:after="0" w:line="240" w:lineRule="auto"/>
        <w:jc w:val="both"/>
      </w:pPr>
    </w:p>
    <w:p w:rsidR="00BA7929" w:rsidRPr="00706893" w:rsidRDefault="00BA7929" w:rsidP="007306B5">
      <w:pPr>
        <w:pStyle w:val="Reference"/>
        <w:spacing w:before="0" w:after="0" w:line="240" w:lineRule="auto"/>
        <w:jc w:val="both"/>
      </w:pPr>
      <w:r w:rsidRPr="00706893">
        <w:t>Carhart, M.</w:t>
      </w:r>
      <w:r w:rsidR="00810DCD">
        <w:t>,</w:t>
      </w:r>
      <w:r w:rsidRPr="00706893">
        <w:t xml:space="preserve"> 1997</w:t>
      </w:r>
      <w:r w:rsidR="00810DCD">
        <w:t>,</w:t>
      </w:r>
      <w:r w:rsidRPr="00706893">
        <w:t xml:space="preserve"> On persistence in mutual fund performance</w:t>
      </w:r>
      <w:r w:rsidR="00810DCD">
        <w:t>,</w:t>
      </w:r>
      <w:r w:rsidRPr="00706893">
        <w:t xml:space="preserve"> </w:t>
      </w:r>
      <w:r w:rsidRPr="00706893">
        <w:rPr>
          <w:i/>
        </w:rPr>
        <w:t>Journal of Finance</w:t>
      </w:r>
      <w:r w:rsidRPr="00706893">
        <w:t xml:space="preserve"> 52</w:t>
      </w:r>
      <w:r w:rsidR="00810DCD">
        <w:t>,</w:t>
      </w:r>
      <w:r w:rsidRPr="00706893">
        <w:t xml:space="preserve">  57-82.</w:t>
      </w:r>
    </w:p>
    <w:p w:rsidR="00BA7929" w:rsidRPr="00706893" w:rsidRDefault="00BA7929" w:rsidP="007306B5">
      <w:pPr>
        <w:pStyle w:val="Reference"/>
        <w:spacing w:before="0" w:after="0" w:line="240" w:lineRule="auto"/>
        <w:jc w:val="both"/>
      </w:pPr>
    </w:p>
    <w:p w:rsidR="00F526C7" w:rsidRDefault="00A1796D" w:rsidP="007306B5">
      <w:pPr>
        <w:widowControl w:val="0"/>
        <w:autoSpaceDE w:val="0"/>
        <w:autoSpaceDN w:val="0"/>
        <w:adjustRightInd w:val="0"/>
        <w:ind w:left="720" w:hanging="720"/>
        <w:contextualSpacing/>
        <w:jc w:val="both"/>
        <w:rPr>
          <w:szCs w:val="24"/>
        </w:rPr>
      </w:pPr>
      <w:r>
        <w:t>Charoenrook, A.</w:t>
      </w:r>
      <w:r w:rsidR="00BA7929" w:rsidRPr="00706893">
        <w:t xml:space="preserve"> </w:t>
      </w:r>
      <w:r>
        <w:t xml:space="preserve">and H. </w:t>
      </w:r>
      <w:r w:rsidR="00BA7929" w:rsidRPr="00706893">
        <w:t>Daouk, 2005</w:t>
      </w:r>
      <w:r w:rsidR="00810DCD">
        <w:t>,</w:t>
      </w:r>
      <w:r w:rsidR="00BA7929" w:rsidRPr="00706893">
        <w:t xml:space="preserve"> The world price of short selling</w:t>
      </w:r>
      <w:r w:rsidR="00810DCD">
        <w:t>,</w:t>
      </w:r>
      <w:r w:rsidR="00BA7929" w:rsidRPr="00706893">
        <w:t xml:space="preserve"> </w:t>
      </w:r>
      <w:r w:rsidR="00F526C7" w:rsidRPr="00102EF6">
        <w:rPr>
          <w:szCs w:val="24"/>
        </w:rPr>
        <w:t>Unpublished</w:t>
      </w:r>
      <w:r w:rsidR="00F526C7">
        <w:rPr>
          <w:szCs w:val="24"/>
        </w:rPr>
        <w:t xml:space="preserve"> working paper.</w:t>
      </w:r>
    </w:p>
    <w:p w:rsidR="00BA7929" w:rsidRPr="00706893" w:rsidRDefault="00BA7929" w:rsidP="007306B5">
      <w:pPr>
        <w:pStyle w:val="Reference"/>
        <w:spacing w:before="0" w:after="0" w:line="240" w:lineRule="auto"/>
        <w:jc w:val="both"/>
      </w:pPr>
    </w:p>
    <w:p w:rsidR="00BA7929" w:rsidRPr="00706893" w:rsidRDefault="00BA7929" w:rsidP="007306B5">
      <w:pPr>
        <w:autoSpaceDE w:val="0"/>
        <w:autoSpaceDN w:val="0"/>
        <w:adjustRightInd w:val="0"/>
        <w:ind w:left="709" w:hanging="709"/>
        <w:jc w:val="both"/>
      </w:pPr>
      <w:r w:rsidRPr="00706893">
        <w:t xml:space="preserve">Chen, J., </w:t>
      </w:r>
      <w:r w:rsidR="00A1796D" w:rsidRPr="00706893">
        <w:t xml:space="preserve">H. </w:t>
      </w:r>
      <w:r w:rsidR="00A1796D">
        <w:t>Hong</w:t>
      </w:r>
      <w:r w:rsidRPr="00706893">
        <w:t xml:space="preserve"> and </w:t>
      </w:r>
      <w:r w:rsidR="00A1796D" w:rsidRPr="00706893">
        <w:t>J.C.</w:t>
      </w:r>
      <w:r w:rsidR="00A1796D">
        <w:t xml:space="preserve"> </w:t>
      </w:r>
      <w:r w:rsidRPr="00706893">
        <w:t>Stein, 2002</w:t>
      </w:r>
      <w:r w:rsidR="00810DCD">
        <w:t>,</w:t>
      </w:r>
      <w:r w:rsidRPr="00706893">
        <w:t xml:space="preserve"> Breadth of ownership and stock returns, </w:t>
      </w:r>
      <w:r w:rsidRPr="00706893">
        <w:rPr>
          <w:i/>
        </w:rPr>
        <w:t>Journal of Financial Economics</w:t>
      </w:r>
      <w:r w:rsidRPr="00706893">
        <w:t xml:space="preserve"> 66</w:t>
      </w:r>
      <w:r w:rsidR="00810DCD">
        <w:t>,</w:t>
      </w:r>
      <w:r w:rsidRPr="00706893">
        <w:t xml:space="preserve"> 171-205.</w:t>
      </w:r>
    </w:p>
    <w:p w:rsidR="00BA7929" w:rsidRPr="00706893" w:rsidRDefault="00BA7929" w:rsidP="007306B5">
      <w:pPr>
        <w:pStyle w:val="Reference"/>
        <w:spacing w:before="0" w:after="0" w:line="240" w:lineRule="auto"/>
        <w:jc w:val="both"/>
      </w:pPr>
    </w:p>
    <w:p w:rsidR="00BA7929" w:rsidRPr="00706893" w:rsidRDefault="00BA7929" w:rsidP="007306B5">
      <w:pPr>
        <w:pStyle w:val="Reference"/>
        <w:spacing w:before="0" w:after="0" w:line="240" w:lineRule="auto"/>
        <w:jc w:val="both"/>
      </w:pPr>
      <w:r w:rsidRPr="00706893">
        <w:t xml:space="preserve">Daniel, K. and </w:t>
      </w:r>
      <w:r w:rsidR="00A1796D" w:rsidRPr="00706893">
        <w:t>S.</w:t>
      </w:r>
      <w:r w:rsidR="00A1796D">
        <w:t xml:space="preserve"> </w:t>
      </w:r>
      <w:r w:rsidRPr="00706893">
        <w:t>Titman, 1997</w:t>
      </w:r>
      <w:r w:rsidR="00810DCD">
        <w:t>,</w:t>
      </w:r>
      <w:r w:rsidRPr="00706893">
        <w:t xml:space="preserve"> Evidence on the characteristics of cross sectional variation in stock returns</w:t>
      </w:r>
      <w:r w:rsidR="00810DCD">
        <w:t>,</w:t>
      </w:r>
      <w:r w:rsidRPr="00706893">
        <w:t xml:space="preserve"> </w:t>
      </w:r>
      <w:r w:rsidRPr="00706893">
        <w:rPr>
          <w:i/>
        </w:rPr>
        <w:t>Journal of Finance</w:t>
      </w:r>
      <w:r w:rsidRPr="00706893">
        <w:t xml:space="preserve"> 52</w:t>
      </w:r>
      <w:r w:rsidR="00810DCD">
        <w:t>,</w:t>
      </w:r>
      <w:r w:rsidRPr="00706893">
        <w:t xml:space="preserve"> 1-33.</w:t>
      </w:r>
    </w:p>
    <w:p w:rsidR="00BA7929" w:rsidRPr="00706893" w:rsidRDefault="00BA7929" w:rsidP="007306B5">
      <w:pPr>
        <w:pStyle w:val="Reference"/>
        <w:spacing w:before="0" w:after="0" w:line="240" w:lineRule="auto"/>
        <w:jc w:val="both"/>
      </w:pPr>
    </w:p>
    <w:p w:rsidR="00BA7929" w:rsidRPr="00706893" w:rsidRDefault="00BA7929" w:rsidP="007306B5">
      <w:pPr>
        <w:pStyle w:val="Reference"/>
        <w:spacing w:before="0" w:after="0" w:line="240" w:lineRule="auto"/>
        <w:jc w:val="both"/>
      </w:pPr>
      <w:r w:rsidRPr="00706893">
        <w:t xml:space="preserve">Diamond, W.D. and </w:t>
      </w:r>
      <w:r w:rsidR="00A1796D" w:rsidRPr="00706893">
        <w:t>D.E.</w:t>
      </w:r>
      <w:r w:rsidR="00A1796D">
        <w:t xml:space="preserve"> </w:t>
      </w:r>
      <w:r w:rsidRPr="00706893">
        <w:t>Verrecchia, 1987</w:t>
      </w:r>
      <w:r w:rsidR="00810DCD">
        <w:t>,</w:t>
      </w:r>
      <w:r w:rsidRPr="00706893">
        <w:t xml:space="preserve"> Constraints on short-selling and asset price adjustment to private information</w:t>
      </w:r>
      <w:r w:rsidR="00810DCD">
        <w:t>,</w:t>
      </w:r>
      <w:r w:rsidRPr="00706893">
        <w:t xml:space="preserve"> </w:t>
      </w:r>
      <w:r w:rsidRPr="00706893">
        <w:rPr>
          <w:i/>
        </w:rPr>
        <w:t>Journal of Financial Economics</w:t>
      </w:r>
      <w:r w:rsidRPr="00706893">
        <w:t xml:space="preserve"> 18</w:t>
      </w:r>
      <w:r w:rsidR="00810DCD">
        <w:t>,</w:t>
      </w:r>
      <w:r w:rsidRPr="00706893">
        <w:t xml:space="preserve"> 277-311.</w:t>
      </w:r>
    </w:p>
    <w:p w:rsidR="00BA7929" w:rsidRPr="00706893" w:rsidRDefault="00BA7929" w:rsidP="007306B5">
      <w:pPr>
        <w:pStyle w:val="Reference"/>
        <w:spacing w:before="0" w:after="0" w:line="240" w:lineRule="auto"/>
        <w:jc w:val="both"/>
      </w:pPr>
    </w:p>
    <w:p w:rsidR="00BA7929" w:rsidRPr="00706893" w:rsidRDefault="00A1796D" w:rsidP="007306B5">
      <w:pPr>
        <w:pStyle w:val="Reference"/>
        <w:spacing w:before="0" w:after="0" w:line="240" w:lineRule="auto"/>
        <w:jc w:val="both"/>
      </w:pPr>
      <w:r>
        <w:t xml:space="preserve">Fama, E.F. and K.R. </w:t>
      </w:r>
      <w:r w:rsidRPr="00706893">
        <w:t xml:space="preserve">French, </w:t>
      </w:r>
      <w:r w:rsidR="00BA7929" w:rsidRPr="00706893">
        <w:t>199</w:t>
      </w:r>
      <w:r>
        <w:t>2</w:t>
      </w:r>
      <w:r w:rsidR="00810DCD">
        <w:t>,</w:t>
      </w:r>
      <w:r w:rsidR="00BA7929" w:rsidRPr="00706893">
        <w:t xml:space="preserve"> </w:t>
      </w:r>
      <w:r>
        <w:t>The cross-section</w:t>
      </w:r>
      <w:r w:rsidR="00BA7929" w:rsidRPr="00706893">
        <w:t xml:space="preserve"> of expected stock returns</w:t>
      </w:r>
      <w:r w:rsidR="00810DCD">
        <w:t>,</w:t>
      </w:r>
      <w:r w:rsidR="00BA7929" w:rsidRPr="00706893">
        <w:t xml:space="preserve"> </w:t>
      </w:r>
      <w:r w:rsidR="00BA7929" w:rsidRPr="00706893">
        <w:rPr>
          <w:i/>
        </w:rPr>
        <w:t>Journal of Finance</w:t>
      </w:r>
      <w:r w:rsidR="00BA7929" w:rsidRPr="00706893">
        <w:t xml:space="preserve"> 47</w:t>
      </w:r>
      <w:r w:rsidR="00810DCD">
        <w:t>,</w:t>
      </w:r>
      <w:r w:rsidR="00BA7929" w:rsidRPr="00706893">
        <w:t xml:space="preserve"> 427-465.</w:t>
      </w:r>
    </w:p>
    <w:p w:rsidR="00BA7929" w:rsidRPr="00706893" w:rsidRDefault="00BA7929" w:rsidP="007306B5">
      <w:pPr>
        <w:pStyle w:val="Reference"/>
        <w:spacing w:before="0" w:after="0" w:line="240" w:lineRule="auto"/>
        <w:jc w:val="both"/>
      </w:pPr>
    </w:p>
    <w:p w:rsidR="00F97ABB" w:rsidRDefault="00810DCD" w:rsidP="007306B5">
      <w:pPr>
        <w:autoSpaceDE w:val="0"/>
        <w:autoSpaceDN w:val="0"/>
        <w:adjustRightInd w:val="0"/>
        <w:ind w:left="709" w:hanging="709"/>
        <w:jc w:val="both"/>
      </w:pPr>
      <w:r>
        <w:t xml:space="preserve">Jones, C. and </w:t>
      </w:r>
      <w:r w:rsidR="00A1796D">
        <w:t xml:space="preserve">O. </w:t>
      </w:r>
      <w:r>
        <w:t xml:space="preserve">Lamont, 2002, Short sale constraints and stock returns, </w:t>
      </w:r>
      <w:r w:rsidRPr="00810DCD">
        <w:rPr>
          <w:i/>
        </w:rPr>
        <w:t>Journal of Financial Economics</w:t>
      </w:r>
      <w:r>
        <w:t xml:space="preserve"> 66, 207-239.</w:t>
      </w:r>
    </w:p>
    <w:p w:rsidR="00810DCD" w:rsidRDefault="00810DCD" w:rsidP="007306B5">
      <w:pPr>
        <w:autoSpaceDE w:val="0"/>
        <w:autoSpaceDN w:val="0"/>
        <w:adjustRightInd w:val="0"/>
        <w:jc w:val="both"/>
      </w:pPr>
    </w:p>
    <w:p w:rsidR="00BA7929" w:rsidRPr="00A2328F" w:rsidRDefault="00BA7929" w:rsidP="00AC7EB4">
      <w:pPr>
        <w:autoSpaceDE w:val="0"/>
        <w:autoSpaceDN w:val="0"/>
        <w:adjustRightInd w:val="0"/>
        <w:ind w:left="709" w:hanging="709"/>
        <w:jc w:val="both"/>
      </w:pPr>
      <w:r w:rsidRPr="00706893">
        <w:t xml:space="preserve">Lamont, </w:t>
      </w:r>
      <w:r w:rsidR="00A1796D">
        <w:t>O.</w:t>
      </w:r>
      <w:r w:rsidRPr="00706893">
        <w:t>, 20</w:t>
      </w:r>
      <w:r w:rsidR="00A2328F">
        <w:t>12</w:t>
      </w:r>
      <w:r w:rsidR="00810DCD" w:rsidRPr="00A2328F">
        <w:t>,</w:t>
      </w:r>
      <w:r w:rsidRPr="004726F5">
        <w:t xml:space="preserve"> </w:t>
      </w:r>
      <w:r w:rsidRPr="00706893">
        <w:t xml:space="preserve">Go down fighting: </w:t>
      </w:r>
      <w:r w:rsidRPr="00A2328F">
        <w:t>short-sellers</w:t>
      </w:r>
      <w:r w:rsidRPr="00706893">
        <w:t xml:space="preserve"> vs. firms</w:t>
      </w:r>
      <w:r w:rsidR="00810DCD" w:rsidRPr="00A2328F">
        <w:t>,</w:t>
      </w:r>
      <w:r w:rsidRPr="004726F5">
        <w:t xml:space="preserve"> </w:t>
      </w:r>
      <w:r w:rsidR="00A2328F" w:rsidRPr="004726F5">
        <w:rPr>
          <w:i/>
        </w:rPr>
        <w:t>Review of Asset Pricing Studies</w:t>
      </w:r>
      <w:r w:rsidR="00A2328F" w:rsidRPr="00AC7EB4">
        <w:t xml:space="preserve"> </w:t>
      </w:r>
      <w:r w:rsidR="00A2328F">
        <w:t xml:space="preserve">2, 1-30. </w:t>
      </w:r>
    </w:p>
    <w:p w:rsidR="00BA7929" w:rsidRPr="00706893" w:rsidRDefault="00BA7929" w:rsidP="007306B5">
      <w:pPr>
        <w:pStyle w:val="Reference"/>
        <w:spacing w:before="0" w:after="0" w:line="240" w:lineRule="auto"/>
        <w:jc w:val="both"/>
        <w:rPr>
          <w:color w:val="FF0000"/>
        </w:rPr>
      </w:pPr>
    </w:p>
    <w:p w:rsidR="00BA7929" w:rsidRPr="00810DCD" w:rsidRDefault="00BA7929" w:rsidP="007306B5">
      <w:pPr>
        <w:pStyle w:val="Reference"/>
        <w:spacing w:before="0" w:after="0" w:line="240" w:lineRule="auto"/>
        <w:jc w:val="both"/>
        <w:rPr>
          <w:b/>
        </w:rPr>
      </w:pPr>
      <w:r w:rsidRPr="00706893">
        <w:t>Miller, E.M.</w:t>
      </w:r>
      <w:r w:rsidR="00810DCD">
        <w:t>,</w:t>
      </w:r>
      <w:r w:rsidRPr="00706893">
        <w:t xml:space="preserve"> 1977</w:t>
      </w:r>
      <w:r w:rsidR="00810DCD">
        <w:t>,</w:t>
      </w:r>
      <w:r w:rsidRPr="00706893">
        <w:t xml:space="preserve"> Risk, uncertainty, and divergence of opinion</w:t>
      </w:r>
      <w:r w:rsidR="00810DCD">
        <w:t>,</w:t>
      </w:r>
      <w:r w:rsidRPr="00706893">
        <w:t xml:space="preserve">  </w:t>
      </w:r>
      <w:r w:rsidRPr="00706893">
        <w:rPr>
          <w:i/>
        </w:rPr>
        <w:t xml:space="preserve">Journal of Finance </w:t>
      </w:r>
      <w:r w:rsidR="00810DCD" w:rsidRPr="00810DCD">
        <w:t>32,</w:t>
      </w:r>
      <w:r w:rsidRPr="00810DCD">
        <w:t xml:space="preserve"> 1151-1168.</w:t>
      </w:r>
    </w:p>
    <w:p w:rsidR="00BA7929" w:rsidRPr="00706893" w:rsidRDefault="00BA7929" w:rsidP="007306B5">
      <w:pPr>
        <w:jc w:val="both"/>
        <w:rPr>
          <w:color w:val="FF0000"/>
        </w:rPr>
      </w:pPr>
    </w:p>
    <w:p w:rsidR="00BA7929" w:rsidRPr="00706893" w:rsidRDefault="00BA7929" w:rsidP="007306B5">
      <w:pPr>
        <w:pStyle w:val="Reference"/>
        <w:spacing w:before="0" w:after="0" w:line="240" w:lineRule="auto"/>
        <w:jc w:val="both"/>
      </w:pPr>
      <w:r w:rsidRPr="00706893">
        <w:t>Nagel, S.</w:t>
      </w:r>
      <w:r w:rsidR="00810DCD">
        <w:t>,</w:t>
      </w:r>
      <w:r w:rsidRPr="00706893">
        <w:t xml:space="preserve"> 2005</w:t>
      </w:r>
      <w:r w:rsidR="00810DCD">
        <w:t>,</w:t>
      </w:r>
      <w:r w:rsidRPr="00706893">
        <w:t xml:space="preserve"> Short-sales, institutional investors and the cross-section of stock returns</w:t>
      </w:r>
      <w:r w:rsidR="00810DCD">
        <w:t>,</w:t>
      </w:r>
      <w:r w:rsidRPr="00706893">
        <w:t xml:space="preserve"> </w:t>
      </w:r>
      <w:r w:rsidRPr="00706893">
        <w:rPr>
          <w:i/>
        </w:rPr>
        <w:t>Journal of Financial Economics</w:t>
      </w:r>
      <w:r w:rsidRPr="00706893">
        <w:t xml:space="preserve"> 78</w:t>
      </w:r>
      <w:r w:rsidR="00810DCD">
        <w:t>,</w:t>
      </w:r>
      <w:r w:rsidRPr="00706893">
        <w:t xml:space="preserve"> 277-309.</w:t>
      </w:r>
    </w:p>
    <w:p w:rsidR="00BA7929" w:rsidRPr="00706893" w:rsidRDefault="00BA7929" w:rsidP="007306B5">
      <w:pPr>
        <w:pStyle w:val="Reference"/>
        <w:spacing w:before="0" w:after="0" w:line="240" w:lineRule="auto"/>
        <w:jc w:val="both"/>
      </w:pPr>
    </w:p>
    <w:p w:rsidR="00BA7929" w:rsidRPr="00706893" w:rsidRDefault="00BA7929" w:rsidP="007306B5">
      <w:pPr>
        <w:pStyle w:val="Reference"/>
        <w:spacing w:before="0" w:after="0" w:line="240" w:lineRule="auto"/>
        <w:ind w:left="709" w:hanging="709"/>
        <w:jc w:val="both"/>
      </w:pPr>
      <w:r>
        <w:t>Phillips, B.</w:t>
      </w:r>
      <w:r w:rsidR="00810DCD">
        <w:t>,</w:t>
      </w:r>
      <w:r>
        <w:t xml:space="preserve"> </w:t>
      </w:r>
      <w:r w:rsidR="001F4913">
        <w:t>20</w:t>
      </w:r>
      <w:r w:rsidR="00FA4F6A">
        <w:t>11</w:t>
      </w:r>
      <w:r w:rsidR="00810DCD">
        <w:t>,</w:t>
      </w:r>
      <w:r>
        <w:t xml:space="preserve"> Option introduction, short-sale constraints and market efficiency: a new perspective, </w:t>
      </w:r>
      <w:r w:rsidR="00FA4F6A" w:rsidRPr="00F526C7">
        <w:rPr>
          <w:i/>
        </w:rPr>
        <w:t>Journal of Banking and Finance</w:t>
      </w:r>
      <w:r w:rsidR="00FA4F6A">
        <w:t xml:space="preserve"> 35, 430-442</w:t>
      </w:r>
      <w:r>
        <w:t>.</w:t>
      </w:r>
    </w:p>
    <w:p w:rsidR="002F7C1A" w:rsidRDefault="00BA7929" w:rsidP="007306B5">
      <w:pPr>
        <w:pStyle w:val="Reference"/>
        <w:pBdr>
          <w:bottom w:val="single" w:sz="4" w:space="1" w:color="auto"/>
        </w:pBdr>
        <w:spacing w:before="0" w:after="0" w:line="240" w:lineRule="auto"/>
        <w:ind w:left="0" w:firstLine="0"/>
        <w:jc w:val="both"/>
        <w:rPr>
          <w:b/>
          <w:sz w:val="32"/>
          <w:szCs w:val="32"/>
        </w:rPr>
        <w:sectPr w:rsidR="002F7C1A" w:rsidSect="002A53CB">
          <w:headerReference w:type="default" r:id="rId16"/>
          <w:footerReference w:type="default" r:id="rId17"/>
          <w:type w:val="continuous"/>
          <w:pgSz w:w="12240" w:h="15840"/>
          <w:pgMar w:top="1440" w:right="1440" w:bottom="1440" w:left="1440" w:header="475" w:footer="720" w:gutter="0"/>
          <w:pgNumType w:start="1"/>
          <w:cols w:space="720"/>
          <w:noEndnote/>
          <w:docGrid w:linePitch="360"/>
        </w:sectPr>
      </w:pPr>
      <w:r w:rsidRPr="00706893">
        <w:rPr>
          <w:b/>
          <w:sz w:val="32"/>
          <w:szCs w:val="32"/>
        </w:rPr>
        <w:br w:type="page"/>
      </w:r>
    </w:p>
    <w:p w:rsidR="00BA7929" w:rsidRPr="007306B5" w:rsidRDefault="00BA7929" w:rsidP="007306B5">
      <w:pPr>
        <w:pStyle w:val="Reference"/>
        <w:spacing w:before="0" w:after="0" w:line="240" w:lineRule="auto"/>
        <w:ind w:left="0" w:firstLine="0"/>
        <w:rPr>
          <w:b/>
          <w:szCs w:val="24"/>
        </w:rPr>
      </w:pPr>
      <w:r w:rsidRPr="007306B5">
        <w:rPr>
          <w:b/>
          <w:szCs w:val="24"/>
        </w:rPr>
        <w:t>Table I</w:t>
      </w:r>
    </w:p>
    <w:p w:rsidR="00BA7929" w:rsidRPr="007306B5" w:rsidRDefault="00BA7929" w:rsidP="00F67B85">
      <w:pPr>
        <w:pStyle w:val="Reference"/>
        <w:spacing w:before="0" w:after="0" w:line="240" w:lineRule="auto"/>
        <w:rPr>
          <w:b/>
          <w:szCs w:val="24"/>
        </w:rPr>
      </w:pPr>
      <w:r w:rsidRPr="007306B5">
        <w:rPr>
          <w:b/>
          <w:szCs w:val="24"/>
        </w:rPr>
        <w:t>Factor-Analytic Model Average Factor Loadings</w:t>
      </w:r>
    </w:p>
    <w:p w:rsidR="00BA7929" w:rsidRPr="00F67B85" w:rsidRDefault="00BA7929" w:rsidP="00DE5122">
      <w:pPr>
        <w:pStyle w:val="Reference"/>
        <w:spacing w:before="0" w:after="0" w:line="240" w:lineRule="auto"/>
        <w:ind w:left="0" w:firstLine="0"/>
        <w:rPr>
          <w:sz w:val="20"/>
        </w:rPr>
      </w:pPr>
    </w:p>
    <w:p w:rsidR="00BA7929" w:rsidRPr="00F67B85" w:rsidRDefault="00BA7929" w:rsidP="00F67B85">
      <w:pPr>
        <w:pStyle w:val="Reference"/>
        <w:spacing w:before="0" w:after="0" w:line="240" w:lineRule="auto"/>
        <w:ind w:left="0" w:firstLine="0"/>
        <w:jc w:val="both"/>
        <w:rPr>
          <w:sz w:val="20"/>
        </w:rPr>
      </w:pPr>
      <w:r>
        <w:rPr>
          <w:sz w:val="20"/>
        </w:rPr>
        <w:t xml:space="preserve">Table </w:t>
      </w:r>
      <w:r w:rsidR="00D310D0">
        <w:rPr>
          <w:sz w:val="20"/>
        </w:rPr>
        <w:t>I</w:t>
      </w:r>
      <w:r>
        <w:rPr>
          <w:sz w:val="20"/>
        </w:rPr>
        <w:t xml:space="preserve"> reports the average coefficient values of the following six factor model (equation (1)), calculated over the pre-ban period (September 18, 2007 to September 18, 2008).  </w:t>
      </w:r>
      <w:r w:rsidR="0021079E">
        <w:rPr>
          <w:sz w:val="20"/>
        </w:rPr>
        <w:t>Sub-sample</w:t>
      </w:r>
      <w:r>
        <w:rPr>
          <w:sz w:val="20"/>
        </w:rPr>
        <w:t xml:space="preserve"> averages are also reported for the</w:t>
      </w:r>
      <w:r w:rsidR="0027646D">
        <w:rPr>
          <w:sz w:val="20"/>
        </w:rPr>
        <w:t xml:space="preserve"> stocks included (Banned</w:t>
      </w:r>
      <w:r>
        <w:rPr>
          <w:sz w:val="20"/>
        </w:rPr>
        <w:t>) and not included (No</w:t>
      </w:r>
      <w:r w:rsidR="00253CC6">
        <w:rPr>
          <w:sz w:val="20"/>
        </w:rPr>
        <w:t>t</w:t>
      </w:r>
      <w:r w:rsidR="005E15E5">
        <w:rPr>
          <w:sz w:val="20"/>
        </w:rPr>
        <w:t>-</w:t>
      </w:r>
      <w:r w:rsidR="0027646D">
        <w:rPr>
          <w:sz w:val="20"/>
        </w:rPr>
        <w:t xml:space="preserve"> Banned</w:t>
      </w:r>
      <w:r>
        <w:rPr>
          <w:sz w:val="20"/>
        </w:rPr>
        <w:t xml:space="preserve">) in the short-sale ban.  </w:t>
      </w:r>
    </w:p>
    <w:p w:rsidR="00BA7929" w:rsidRPr="006025B7" w:rsidRDefault="00BA7929" w:rsidP="00DE5122">
      <w:pPr>
        <w:pStyle w:val="Reference"/>
        <w:spacing w:before="0" w:after="0" w:line="240" w:lineRule="auto"/>
        <w:ind w:left="0" w:firstLine="0"/>
        <w:rPr>
          <w:sz w:val="20"/>
        </w:rPr>
      </w:pPr>
    </w:p>
    <w:p w:rsidR="00BA7929" w:rsidRDefault="006025B7" w:rsidP="00F67B85">
      <w:pPr>
        <w:pStyle w:val="Reference"/>
        <w:spacing w:before="0" w:after="0" w:line="240" w:lineRule="auto"/>
        <w:ind w:left="0" w:firstLine="0"/>
        <w:jc w:val="center"/>
        <w:rPr>
          <w:position w:val="-14"/>
        </w:rPr>
      </w:pPr>
      <w:r w:rsidRPr="00706893">
        <w:rPr>
          <w:position w:val="-14"/>
        </w:rPr>
        <w:object w:dxaOrig="8080" w:dyaOrig="380">
          <v:shape id="_x0000_i1028" type="#_x0000_t75" style="width:372pt;height:13.8pt" o:ole="">
            <v:imagedata r:id="rId10" o:title=""/>
          </v:shape>
          <o:OLEObject Type="Embed" ProgID="Equation.DSMT4" ShapeID="_x0000_i1028" DrawAspect="Content" ObjectID="_1420024369" r:id="rId18"/>
        </w:object>
      </w:r>
    </w:p>
    <w:p w:rsidR="00BA7929" w:rsidRPr="00F67B85" w:rsidRDefault="00BA7929" w:rsidP="00DE5122">
      <w:pPr>
        <w:pStyle w:val="Reference"/>
        <w:spacing w:before="0" w:after="0" w:line="240" w:lineRule="auto"/>
        <w:ind w:left="0" w:firstLine="0"/>
        <w:rPr>
          <w:b/>
          <w:sz w:val="20"/>
        </w:rPr>
      </w:pPr>
    </w:p>
    <w:p w:rsidR="00BA7929" w:rsidRPr="00A378DE" w:rsidRDefault="00A378DE" w:rsidP="005C037D">
      <w:pPr>
        <w:pStyle w:val="Reference"/>
        <w:spacing w:before="0" w:after="0" w:line="240" w:lineRule="auto"/>
        <w:ind w:left="0" w:firstLine="0"/>
        <w:jc w:val="both"/>
        <w:rPr>
          <w:sz w:val="20"/>
        </w:rPr>
      </w:pPr>
      <w:r>
        <w:rPr>
          <w:sz w:val="20"/>
        </w:rPr>
        <w:t>In this model,</w:t>
      </w:r>
      <w:r w:rsidRPr="00A378DE">
        <w:rPr>
          <w:sz w:val="20"/>
        </w:rPr>
        <w:t xml:space="preserve"> </w:t>
      </w:r>
      <w:r w:rsidRPr="00A378DE">
        <w:rPr>
          <w:i/>
          <w:sz w:val="20"/>
        </w:rPr>
        <w:t>r</w:t>
      </w:r>
      <w:r w:rsidRPr="00A378DE">
        <w:rPr>
          <w:i/>
          <w:sz w:val="20"/>
          <w:vertAlign w:val="subscript"/>
        </w:rPr>
        <w:t>i,t</w:t>
      </w:r>
      <w:r w:rsidRPr="00A378DE">
        <w:rPr>
          <w:sz w:val="20"/>
        </w:rPr>
        <w:t xml:space="preserve"> is the dividend- and split-adjusted log price relative for stock </w:t>
      </w:r>
      <w:r w:rsidRPr="00A378DE">
        <w:rPr>
          <w:i/>
          <w:sz w:val="20"/>
        </w:rPr>
        <w:t>i</w:t>
      </w:r>
      <w:r w:rsidRPr="00A378DE">
        <w:rPr>
          <w:sz w:val="20"/>
        </w:rPr>
        <w:t xml:space="preserve"> on day </w:t>
      </w:r>
      <w:r w:rsidRPr="00A378DE">
        <w:rPr>
          <w:i/>
          <w:sz w:val="20"/>
        </w:rPr>
        <w:t>t</w:t>
      </w:r>
      <w:r w:rsidRPr="00A378DE">
        <w:rPr>
          <w:sz w:val="20"/>
        </w:rPr>
        <w:t xml:space="preserve">.  </w:t>
      </w:r>
      <w:r w:rsidRPr="00A378DE">
        <w:rPr>
          <w:i/>
          <w:sz w:val="20"/>
        </w:rPr>
        <w:t>ExMkt</w:t>
      </w:r>
      <w:r w:rsidRPr="00A378DE">
        <w:rPr>
          <w:sz w:val="20"/>
        </w:rPr>
        <w:t xml:space="preserve">, </w:t>
      </w:r>
      <w:r w:rsidR="0027646D" w:rsidRPr="00A378DE">
        <w:rPr>
          <w:i/>
          <w:sz w:val="20"/>
        </w:rPr>
        <w:t>HML,</w:t>
      </w:r>
      <w:r w:rsidR="0027646D" w:rsidRPr="00A378DE">
        <w:rPr>
          <w:sz w:val="20"/>
        </w:rPr>
        <w:t xml:space="preserve"> </w:t>
      </w:r>
      <w:r w:rsidRPr="00A378DE">
        <w:rPr>
          <w:i/>
          <w:sz w:val="20"/>
        </w:rPr>
        <w:t>SMB</w:t>
      </w:r>
      <w:r w:rsidRPr="00A378DE">
        <w:rPr>
          <w:sz w:val="20"/>
        </w:rPr>
        <w:t xml:space="preserve">, and </w:t>
      </w:r>
      <w:r w:rsidRPr="00A378DE">
        <w:rPr>
          <w:i/>
          <w:sz w:val="20"/>
        </w:rPr>
        <w:t>MOM</w:t>
      </w:r>
      <w:r w:rsidRPr="00A378DE">
        <w:rPr>
          <w:sz w:val="20"/>
        </w:rPr>
        <w:t xml:space="preserve"> are the Fama-French and momentum factors on day </w:t>
      </w:r>
      <w:r w:rsidRPr="00A378DE">
        <w:rPr>
          <w:i/>
          <w:sz w:val="20"/>
        </w:rPr>
        <w:t>t</w:t>
      </w:r>
      <w:r w:rsidRPr="00A378DE">
        <w:rPr>
          <w:sz w:val="20"/>
        </w:rPr>
        <w:t xml:space="preserve">, </w:t>
      </w:r>
      <w:r w:rsidRPr="00A378DE">
        <w:rPr>
          <w:i/>
          <w:sz w:val="20"/>
        </w:rPr>
        <w:t>BAN</w:t>
      </w:r>
      <w:r w:rsidRPr="00A378DE">
        <w:rPr>
          <w:sz w:val="20"/>
        </w:rPr>
        <w:t xml:space="preserve"> is the value- weighted return to the banned stocks on day </w:t>
      </w:r>
      <w:r w:rsidRPr="00A378DE">
        <w:rPr>
          <w:i/>
          <w:sz w:val="20"/>
        </w:rPr>
        <w:t>t</w:t>
      </w:r>
      <w:r w:rsidRPr="00A378DE">
        <w:rPr>
          <w:sz w:val="20"/>
        </w:rPr>
        <w:t xml:space="preserve">, and </w:t>
      </w:r>
      <w:r w:rsidRPr="00A378DE">
        <w:rPr>
          <w:i/>
          <w:sz w:val="20"/>
        </w:rPr>
        <w:t>TARP</w:t>
      </w:r>
      <w:r w:rsidRPr="00A378DE">
        <w:rPr>
          <w:sz w:val="20"/>
        </w:rPr>
        <w:t xml:space="preserve"> is the TARP-weighted return to the banned stocks on day </w:t>
      </w:r>
      <w:r w:rsidRPr="00A378DE">
        <w:rPr>
          <w:i/>
          <w:sz w:val="20"/>
        </w:rPr>
        <w:t>t</w:t>
      </w:r>
      <w:r>
        <w:rPr>
          <w:i/>
          <w:sz w:val="20"/>
        </w:rPr>
        <w:t>.</w:t>
      </w:r>
      <w:r w:rsidR="00BA7929" w:rsidRPr="00A378DE">
        <w:rPr>
          <w:sz w:val="20"/>
        </w:rPr>
        <w:t xml:space="preserve">  Two forms of the BAN index are calculated, a market capitalization weighted index (Value columns) and a short interest as of September 15, 2008 weighted index (Short columns).  </w:t>
      </w:r>
      <w:r w:rsidR="00BE5A49" w:rsidRPr="00AC7EB4">
        <w:rPr>
          <w:i/>
          <w:sz w:val="20"/>
        </w:rPr>
        <w:t>t</w:t>
      </w:r>
      <w:r w:rsidR="00BA7929" w:rsidRPr="00A378DE">
        <w:rPr>
          <w:sz w:val="20"/>
        </w:rPr>
        <w:t>-statistics are reported in brackets below each coefficient (</w:t>
      </w:r>
      <w:r w:rsidR="00BA7929" w:rsidRPr="00A378DE">
        <w:rPr>
          <w:sz w:val="20"/>
          <w:lang w:eastAsia="en-CA"/>
        </w:rPr>
        <w:t>H</w:t>
      </w:r>
      <w:r w:rsidR="00BA7929" w:rsidRPr="00A378DE">
        <w:rPr>
          <w:sz w:val="20"/>
          <w:vertAlign w:val="subscript"/>
          <w:lang w:eastAsia="en-CA"/>
        </w:rPr>
        <w:t>o</w:t>
      </w:r>
      <w:r w:rsidR="00BA7929" w:rsidRPr="00A378DE">
        <w:rPr>
          <w:sz w:val="20"/>
          <w:lang w:eastAsia="en-CA"/>
        </w:rPr>
        <w:t>: β</w:t>
      </w:r>
      <w:r w:rsidR="00964E48">
        <w:rPr>
          <w:i/>
          <w:sz w:val="20"/>
          <w:vertAlign w:val="subscript"/>
          <w:lang w:eastAsia="en-CA"/>
        </w:rPr>
        <w:t>n</w:t>
      </w:r>
      <w:r w:rsidR="00BA7929" w:rsidRPr="00A378DE">
        <w:rPr>
          <w:sz w:val="20"/>
        </w:rPr>
        <w:t xml:space="preserve"> = 0).</w:t>
      </w:r>
    </w:p>
    <w:p w:rsidR="00BA7929" w:rsidRPr="005C037D" w:rsidRDefault="00BA7929" w:rsidP="005C037D">
      <w:pPr>
        <w:pStyle w:val="Reference"/>
        <w:spacing w:before="0" w:after="0" w:line="240" w:lineRule="auto"/>
        <w:ind w:left="0" w:firstLine="0"/>
        <w:jc w:val="both"/>
        <w:rPr>
          <w:sz w:val="20"/>
        </w:rPr>
      </w:pPr>
    </w:p>
    <w:p w:rsidR="00BA7929" w:rsidRDefault="00BA7929" w:rsidP="00DE5122">
      <w:pPr>
        <w:pStyle w:val="Reference"/>
        <w:spacing w:before="0" w:after="0" w:line="240" w:lineRule="auto"/>
        <w:ind w:left="0" w:firstLine="0"/>
        <w:rPr>
          <w:b/>
          <w:sz w:val="32"/>
          <w:szCs w:val="32"/>
        </w:rPr>
      </w:pPr>
    </w:p>
    <w:tbl>
      <w:tblPr>
        <w:tblW w:w="9441" w:type="dxa"/>
        <w:jc w:val="center"/>
        <w:tblInd w:w="59" w:type="dxa"/>
        <w:tblCellMar>
          <w:left w:w="70" w:type="dxa"/>
          <w:right w:w="70" w:type="dxa"/>
        </w:tblCellMar>
        <w:tblLook w:val="00A0" w:firstRow="1" w:lastRow="0" w:firstColumn="1" w:lastColumn="0" w:noHBand="0" w:noVBand="0"/>
      </w:tblPr>
      <w:tblGrid>
        <w:gridCol w:w="2169"/>
        <w:gridCol w:w="992"/>
        <w:gridCol w:w="991"/>
        <w:gridCol w:w="567"/>
        <w:gridCol w:w="992"/>
        <w:gridCol w:w="993"/>
        <w:gridCol w:w="551"/>
        <w:gridCol w:w="1088"/>
        <w:gridCol w:w="1098"/>
      </w:tblGrid>
      <w:tr w:rsidR="007306B5" w:rsidRPr="006025B7" w:rsidTr="007306B5">
        <w:trPr>
          <w:trHeight w:val="300"/>
          <w:jc w:val="center"/>
        </w:trPr>
        <w:tc>
          <w:tcPr>
            <w:tcW w:w="2169" w:type="dxa"/>
            <w:tcBorders>
              <w:top w:val="single" w:sz="4" w:space="0" w:color="auto"/>
            </w:tcBorders>
            <w:noWrap/>
            <w:vAlign w:val="center"/>
          </w:tcPr>
          <w:p w:rsidR="007306B5" w:rsidRPr="006025B7" w:rsidRDefault="007306B5" w:rsidP="007306B5">
            <w:pPr>
              <w:jc w:val="center"/>
              <w:rPr>
                <w:color w:val="000000"/>
                <w:sz w:val="20"/>
                <w:lang w:eastAsia="fr-CA"/>
              </w:rPr>
            </w:pPr>
          </w:p>
        </w:tc>
        <w:tc>
          <w:tcPr>
            <w:tcW w:w="1983" w:type="dxa"/>
            <w:gridSpan w:val="2"/>
            <w:tcBorders>
              <w:top w:val="single" w:sz="4" w:space="0" w:color="auto"/>
              <w:bottom w:val="single" w:sz="4" w:space="0" w:color="auto"/>
            </w:tcBorders>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Full Sample</w:t>
            </w:r>
          </w:p>
        </w:tc>
        <w:tc>
          <w:tcPr>
            <w:tcW w:w="567" w:type="dxa"/>
            <w:tcBorders>
              <w:top w:val="single" w:sz="4" w:space="0" w:color="auto"/>
            </w:tcBorders>
            <w:vAlign w:val="center"/>
          </w:tcPr>
          <w:p w:rsidR="007306B5" w:rsidRPr="006025B7" w:rsidRDefault="007306B5" w:rsidP="007306B5">
            <w:pPr>
              <w:jc w:val="center"/>
              <w:rPr>
                <w:color w:val="000000"/>
                <w:sz w:val="20"/>
                <w:lang w:val="fr-CA" w:eastAsia="fr-CA"/>
              </w:rPr>
            </w:pPr>
          </w:p>
        </w:tc>
        <w:tc>
          <w:tcPr>
            <w:tcW w:w="1985" w:type="dxa"/>
            <w:gridSpan w:val="2"/>
            <w:tcBorders>
              <w:top w:val="single" w:sz="4" w:space="0" w:color="auto"/>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Banned</w:t>
            </w:r>
          </w:p>
        </w:tc>
        <w:tc>
          <w:tcPr>
            <w:tcW w:w="551" w:type="dxa"/>
            <w:tcBorders>
              <w:top w:val="single" w:sz="4" w:space="0" w:color="auto"/>
            </w:tcBorders>
            <w:vAlign w:val="center"/>
          </w:tcPr>
          <w:p w:rsidR="007306B5" w:rsidRPr="006025B7" w:rsidRDefault="007306B5" w:rsidP="007306B5">
            <w:pPr>
              <w:jc w:val="center"/>
              <w:rPr>
                <w:color w:val="000000"/>
                <w:sz w:val="20"/>
                <w:lang w:val="fr-CA" w:eastAsia="fr-CA"/>
              </w:rPr>
            </w:pPr>
          </w:p>
        </w:tc>
        <w:tc>
          <w:tcPr>
            <w:tcW w:w="2186" w:type="dxa"/>
            <w:gridSpan w:val="2"/>
            <w:tcBorders>
              <w:top w:val="single" w:sz="4" w:space="0" w:color="auto"/>
              <w:bottom w:val="single" w:sz="4" w:space="0" w:color="auto"/>
            </w:tcBorders>
            <w:vAlign w:val="center"/>
          </w:tcPr>
          <w:p w:rsidR="007306B5" w:rsidRPr="006025B7" w:rsidRDefault="007306B5" w:rsidP="00697743">
            <w:pPr>
              <w:jc w:val="center"/>
              <w:rPr>
                <w:color w:val="000000"/>
                <w:sz w:val="20"/>
                <w:lang w:val="fr-CA" w:eastAsia="fr-CA"/>
              </w:rPr>
            </w:pPr>
            <w:r w:rsidRPr="006025B7">
              <w:rPr>
                <w:color w:val="000000"/>
                <w:sz w:val="20"/>
                <w:lang w:val="fr-CA" w:eastAsia="fr-CA"/>
              </w:rPr>
              <w:t>Not-</w:t>
            </w:r>
            <w:r w:rsidR="00697743" w:rsidRPr="006025B7">
              <w:rPr>
                <w:color w:val="000000"/>
                <w:sz w:val="20"/>
                <w:lang w:val="fr-CA" w:eastAsia="fr-CA"/>
              </w:rPr>
              <w:t>B</w:t>
            </w:r>
            <w:r w:rsidRPr="006025B7">
              <w:rPr>
                <w:color w:val="000000"/>
                <w:sz w:val="20"/>
                <w:lang w:val="fr-CA" w:eastAsia="fr-CA"/>
              </w:rPr>
              <w:t>anned</w:t>
            </w:r>
          </w:p>
        </w:tc>
      </w:tr>
      <w:tr w:rsidR="007306B5" w:rsidRPr="006025B7" w:rsidTr="007306B5">
        <w:trPr>
          <w:trHeight w:val="300"/>
          <w:jc w:val="center"/>
        </w:trPr>
        <w:tc>
          <w:tcPr>
            <w:tcW w:w="2169" w:type="dxa"/>
            <w:tcBorders>
              <w:bottom w:val="single" w:sz="4" w:space="0" w:color="auto"/>
            </w:tcBorders>
            <w:noWrap/>
            <w:vAlign w:val="center"/>
          </w:tcPr>
          <w:p w:rsidR="007306B5" w:rsidRPr="006025B7" w:rsidRDefault="007306B5" w:rsidP="007306B5">
            <w:pPr>
              <w:rPr>
                <w:color w:val="000000"/>
                <w:sz w:val="20"/>
                <w:lang w:val="fr-CA" w:eastAsia="fr-CA"/>
              </w:rPr>
            </w:pPr>
            <w:r w:rsidRPr="006025B7">
              <w:rPr>
                <w:color w:val="000000"/>
                <w:sz w:val="20"/>
                <w:lang w:eastAsia="fr-CA"/>
              </w:rPr>
              <w:t>Factor</w:t>
            </w:r>
          </w:p>
        </w:tc>
        <w:tc>
          <w:tcPr>
            <w:tcW w:w="992" w:type="dxa"/>
            <w:tcBorders>
              <w:top w:val="single" w:sz="4" w:space="0" w:color="auto"/>
              <w:bottom w:val="single" w:sz="4" w:space="0" w:color="auto"/>
            </w:tcBorders>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Value</w:t>
            </w:r>
          </w:p>
        </w:tc>
        <w:tc>
          <w:tcPr>
            <w:tcW w:w="991" w:type="dxa"/>
            <w:tcBorders>
              <w:top w:val="single" w:sz="4" w:space="0" w:color="auto"/>
              <w:bottom w:val="single" w:sz="4" w:space="0" w:color="auto"/>
            </w:tcBorders>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Short</w:t>
            </w:r>
          </w:p>
        </w:tc>
        <w:tc>
          <w:tcPr>
            <w:tcW w:w="567" w:type="dxa"/>
            <w:tcBorders>
              <w:bottom w:val="single" w:sz="4" w:space="0" w:color="auto"/>
            </w:tcBorders>
            <w:vAlign w:val="center"/>
          </w:tcPr>
          <w:p w:rsidR="007306B5" w:rsidRPr="006025B7" w:rsidRDefault="007306B5" w:rsidP="007306B5">
            <w:pPr>
              <w:jc w:val="center"/>
              <w:rPr>
                <w:color w:val="000000"/>
                <w:sz w:val="20"/>
                <w:lang w:val="fr-CA" w:eastAsia="fr-CA"/>
              </w:rPr>
            </w:pPr>
          </w:p>
        </w:tc>
        <w:tc>
          <w:tcPr>
            <w:tcW w:w="992" w:type="dxa"/>
            <w:tcBorders>
              <w:top w:val="single" w:sz="4" w:space="0" w:color="auto"/>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Value</w:t>
            </w:r>
          </w:p>
        </w:tc>
        <w:tc>
          <w:tcPr>
            <w:tcW w:w="993" w:type="dxa"/>
            <w:tcBorders>
              <w:top w:val="single" w:sz="4" w:space="0" w:color="auto"/>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Short</w:t>
            </w:r>
          </w:p>
        </w:tc>
        <w:tc>
          <w:tcPr>
            <w:tcW w:w="551" w:type="dxa"/>
            <w:tcBorders>
              <w:bottom w:val="single" w:sz="4" w:space="0" w:color="auto"/>
            </w:tcBorders>
            <w:vAlign w:val="center"/>
          </w:tcPr>
          <w:p w:rsidR="007306B5" w:rsidRPr="006025B7" w:rsidRDefault="007306B5" w:rsidP="007306B5">
            <w:pPr>
              <w:jc w:val="center"/>
              <w:rPr>
                <w:color w:val="000000"/>
                <w:sz w:val="20"/>
                <w:lang w:val="fr-CA" w:eastAsia="fr-CA"/>
              </w:rPr>
            </w:pPr>
          </w:p>
        </w:tc>
        <w:tc>
          <w:tcPr>
            <w:tcW w:w="1088" w:type="dxa"/>
            <w:tcBorders>
              <w:top w:val="single" w:sz="4" w:space="0" w:color="auto"/>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Value</w:t>
            </w:r>
          </w:p>
        </w:tc>
        <w:tc>
          <w:tcPr>
            <w:tcW w:w="1098" w:type="dxa"/>
            <w:tcBorders>
              <w:top w:val="single" w:sz="4" w:space="0" w:color="auto"/>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Short</w:t>
            </w:r>
          </w:p>
        </w:tc>
      </w:tr>
      <w:tr w:rsidR="007306B5" w:rsidRPr="006025B7" w:rsidTr="007306B5">
        <w:trPr>
          <w:trHeight w:val="300"/>
          <w:jc w:val="center"/>
        </w:trPr>
        <w:tc>
          <w:tcPr>
            <w:tcW w:w="2169" w:type="dxa"/>
            <w:noWrap/>
            <w:vAlign w:val="center"/>
          </w:tcPr>
          <w:p w:rsidR="007306B5" w:rsidRPr="006025B7" w:rsidRDefault="0027646D" w:rsidP="007306B5">
            <w:pPr>
              <w:rPr>
                <w:color w:val="000000"/>
                <w:sz w:val="20"/>
                <w:lang w:val="fr-CA" w:eastAsia="fr-CA"/>
              </w:rPr>
            </w:pPr>
            <w:r w:rsidRPr="006025B7">
              <w:rPr>
                <w:color w:val="000000"/>
                <w:sz w:val="20"/>
                <w:lang w:val="fr-CA" w:eastAsia="fr-CA"/>
              </w:rPr>
              <w:t>E</w:t>
            </w:r>
            <w:r w:rsidR="007306B5" w:rsidRPr="006025B7">
              <w:rPr>
                <w:color w:val="000000"/>
                <w:sz w:val="20"/>
                <w:lang w:val="fr-CA" w:eastAsia="fr-CA"/>
              </w:rPr>
              <w:t>xMkt</w:t>
            </w: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0.0096</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0.0092</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0.0018</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0.0031</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0.011</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0.010</w:t>
            </w:r>
          </w:p>
        </w:tc>
      </w:tr>
      <w:tr w:rsidR="007306B5" w:rsidRPr="006025B7" w:rsidTr="00964E48">
        <w:trPr>
          <w:trHeight w:val="300"/>
          <w:jc w:val="center"/>
        </w:trPr>
        <w:tc>
          <w:tcPr>
            <w:tcW w:w="2169" w:type="dxa"/>
            <w:noWrap/>
            <w:vAlign w:val="center"/>
          </w:tcPr>
          <w:p w:rsidR="007306B5" w:rsidRPr="006025B7" w:rsidRDefault="007306B5" w:rsidP="007306B5">
            <w:pPr>
              <w:rPr>
                <w:color w:val="000000"/>
                <w:sz w:val="20"/>
                <w:lang w:val="fr-CA" w:eastAsia="fr-CA"/>
              </w:rPr>
            </w:pP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(70.89)</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(88.95)</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(5.79)</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(9.80)</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(78.10)</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(101.26)</w:t>
            </w:r>
          </w:p>
        </w:tc>
      </w:tr>
      <w:tr w:rsidR="007306B5" w:rsidRPr="006025B7" w:rsidTr="00964E48">
        <w:trPr>
          <w:trHeight w:val="300"/>
          <w:jc w:val="center"/>
        </w:trPr>
        <w:tc>
          <w:tcPr>
            <w:tcW w:w="2169" w:type="dxa"/>
            <w:noWrap/>
            <w:vAlign w:val="center"/>
          </w:tcPr>
          <w:p w:rsidR="007306B5" w:rsidRPr="006025B7" w:rsidRDefault="007306B5" w:rsidP="007306B5">
            <w:pPr>
              <w:rPr>
                <w:color w:val="000000"/>
                <w:sz w:val="20"/>
                <w:lang w:val="fr-CA" w:eastAsia="fr-CA"/>
              </w:rPr>
            </w:pPr>
            <w:r w:rsidRPr="006025B7">
              <w:rPr>
                <w:color w:val="000000"/>
                <w:sz w:val="20"/>
                <w:lang w:val="fr-CA" w:eastAsia="fr-CA"/>
              </w:rPr>
              <w:t>HML</w:t>
            </w: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-0.00006</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-0.00016</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0.00010</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0.00043</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-0.00009</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-0.00025</w:t>
            </w:r>
          </w:p>
        </w:tc>
      </w:tr>
      <w:tr w:rsidR="007306B5" w:rsidRPr="006025B7" w:rsidTr="00964E48">
        <w:trPr>
          <w:trHeight w:val="300"/>
          <w:jc w:val="center"/>
        </w:trPr>
        <w:tc>
          <w:tcPr>
            <w:tcW w:w="2169" w:type="dxa"/>
            <w:noWrap/>
            <w:vAlign w:val="center"/>
          </w:tcPr>
          <w:p w:rsidR="007306B5" w:rsidRPr="006025B7" w:rsidRDefault="007306B5" w:rsidP="007306B5">
            <w:pPr>
              <w:rPr>
                <w:color w:val="000000"/>
                <w:sz w:val="20"/>
                <w:lang w:val="fr-CA" w:eastAsia="fr-CA"/>
              </w:rPr>
            </w:pP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(0.74)</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(2.02)</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(0.43)</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(1.75)</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(1.02)</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(3.15)</w:t>
            </w:r>
          </w:p>
        </w:tc>
      </w:tr>
      <w:tr w:rsidR="007306B5" w:rsidRPr="006025B7" w:rsidTr="00964E48">
        <w:trPr>
          <w:trHeight w:val="300"/>
          <w:jc w:val="center"/>
        </w:trPr>
        <w:tc>
          <w:tcPr>
            <w:tcW w:w="2169" w:type="dxa"/>
            <w:noWrap/>
            <w:vAlign w:val="center"/>
          </w:tcPr>
          <w:p w:rsidR="007306B5" w:rsidRPr="006025B7" w:rsidRDefault="007306B5" w:rsidP="007306B5">
            <w:pPr>
              <w:rPr>
                <w:color w:val="000000"/>
                <w:sz w:val="20"/>
                <w:lang w:val="fr-CA" w:eastAsia="fr-CA"/>
              </w:rPr>
            </w:pPr>
            <w:r w:rsidRPr="006025B7">
              <w:rPr>
                <w:color w:val="000000"/>
                <w:sz w:val="20"/>
                <w:lang w:val="fr-CA" w:eastAsia="fr-CA"/>
              </w:rPr>
              <w:t>SMB</w:t>
            </w: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0.0041</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0.0046</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0.0048</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0.0015</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0.0040</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0.0052</w:t>
            </w:r>
          </w:p>
        </w:tc>
      </w:tr>
      <w:tr w:rsidR="007306B5" w:rsidRPr="006025B7" w:rsidTr="007306B5">
        <w:trPr>
          <w:trHeight w:val="300"/>
          <w:jc w:val="center"/>
        </w:trPr>
        <w:tc>
          <w:tcPr>
            <w:tcW w:w="2169" w:type="dxa"/>
            <w:noWrap/>
            <w:vAlign w:val="center"/>
          </w:tcPr>
          <w:p w:rsidR="007306B5" w:rsidRPr="006025B7" w:rsidRDefault="007306B5" w:rsidP="007306B5">
            <w:pPr>
              <w:rPr>
                <w:color w:val="000000"/>
                <w:sz w:val="20"/>
                <w:lang w:val="fr-CA" w:eastAsia="fr-CA"/>
              </w:rPr>
            </w:pP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(35.66)</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(42.82)</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(15.02)</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(4.84)</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(32.39)</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(45.25)</w:t>
            </w:r>
          </w:p>
        </w:tc>
      </w:tr>
      <w:tr w:rsidR="007306B5" w:rsidRPr="006025B7" w:rsidTr="007306B5">
        <w:trPr>
          <w:trHeight w:val="300"/>
          <w:jc w:val="center"/>
        </w:trPr>
        <w:tc>
          <w:tcPr>
            <w:tcW w:w="2169" w:type="dxa"/>
            <w:noWrap/>
            <w:vAlign w:val="center"/>
          </w:tcPr>
          <w:p w:rsidR="007306B5" w:rsidRPr="006025B7" w:rsidRDefault="007306B5" w:rsidP="007306B5">
            <w:pPr>
              <w:rPr>
                <w:color w:val="000000"/>
                <w:sz w:val="20"/>
                <w:lang w:val="fr-CA" w:eastAsia="fr-CA"/>
              </w:rPr>
            </w:pPr>
            <w:r w:rsidRPr="006025B7">
              <w:rPr>
                <w:color w:val="000000"/>
                <w:sz w:val="20"/>
                <w:lang w:val="fr-CA" w:eastAsia="fr-CA"/>
              </w:rPr>
              <w:t>MOM</w:t>
            </w: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-0.00066</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-0.00044</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0.00031</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-0.00040</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-0.00082</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-0.00045</w:t>
            </w:r>
          </w:p>
        </w:tc>
      </w:tr>
      <w:tr w:rsidR="007306B5" w:rsidRPr="006025B7" w:rsidTr="007306B5">
        <w:trPr>
          <w:trHeight w:val="300"/>
          <w:jc w:val="center"/>
        </w:trPr>
        <w:tc>
          <w:tcPr>
            <w:tcW w:w="2169" w:type="dxa"/>
            <w:noWrap/>
            <w:vAlign w:val="center"/>
          </w:tcPr>
          <w:p w:rsidR="007306B5" w:rsidRPr="006025B7" w:rsidRDefault="007306B5" w:rsidP="007306B5">
            <w:pPr>
              <w:rPr>
                <w:color w:val="000000"/>
                <w:sz w:val="20"/>
                <w:lang w:val="fr-CA" w:eastAsia="fr-CA"/>
              </w:rPr>
            </w:pP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(7.73)</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(5.10)</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(1.33)</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(2.22)</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(8.92)</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(4.65)</w:t>
            </w:r>
          </w:p>
        </w:tc>
      </w:tr>
      <w:tr w:rsidR="007306B5" w:rsidRPr="006025B7" w:rsidTr="007306B5">
        <w:trPr>
          <w:trHeight w:val="300"/>
          <w:jc w:val="center"/>
        </w:trPr>
        <w:tc>
          <w:tcPr>
            <w:tcW w:w="2169" w:type="dxa"/>
            <w:noWrap/>
            <w:vAlign w:val="center"/>
          </w:tcPr>
          <w:p w:rsidR="007306B5" w:rsidRPr="006025B7" w:rsidRDefault="007306B5" w:rsidP="007306B5">
            <w:pPr>
              <w:rPr>
                <w:color w:val="000000"/>
                <w:sz w:val="20"/>
                <w:lang w:val="fr-CA" w:eastAsia="fr-CA"/>
              </w:rPr>
            </w:pPr>
            <w:r w:rsidRPr="006025B7">
              <w:rPr>
                <w:color w:val="000000"/>
                <w:sz w:val="20"/>
                <w:lang w:val="fr-CA" w:eastAsia="fr-CA"/>
              </w:rPr>
              <w:t>BAN</w:t>
            </w: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-0.081</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-0.064</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0.389</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0.450</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-0.158</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-0.148</w:t>
            </w:r>
          </w:p>
        </w:tc>
      </w:tr>
      <w:tr w:rsidR="007306B5" w:rsidRPr="006025B7" w:rsidTr="007306B5">
        <w:trPr>
          <w:trHeight w:val="300"/>
          <w:jc w:val="center"/>
        </w:trPr>
        <w:tc>
          <w:tcPr>
            <w:tcW w:w="2169" w:type="dxa"/>
            <w:noWrap/>
            <w:vAlign w:val="center"/>
          </w:tcPr>
          <w:p w:rsidR="007306B5" w:rsidRPr="006025B7" w:rsidRDefault="007306B5" w:rsidP="007306B5">
            <w:pPr>
              <w:rPr>
                <w:color w:val="000000"/>
                <w:sz w:val="20"/>
                <w:lang w:val="fr-CA" w:eastAsia="fr-CA"/>
              </w:rPr>
            </w:pP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(7.97)</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(6.75)</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(12.65)</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(11.53)</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(15.45)</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(17.94)</w:t>
            </w:r>
          </w:p>
        </w:tc>
      </w:tr>
      <w:tr w:rsidR="007306B5" w:rsidRPr="006025B7" w:rsidTr="007306B5">
        <w:trPr>
          <w:trHeight w:val="300"/>
          <w:jc w:val="center"/>
        </w:trPr>
        <w:tc>
          <w:tcPr>
            <w:tcW w:w="2169" w:type="dxa"/>
            <w:noWrap/>
            <w:vAlign w:val="center"/>
          </w:tcPr>
          <w:p w:rsidR="007306B5" w:rsidRPr="006025B7" w:rsidRDefault="007306B5" w:rsidP="007306B5">
            <w:pPr>
              <w:rPr>
                <w:color w:val="000000"/>
                <w:sz w:val="20"/>
                <w:lang w:val="fr-CA" w:eastAsia="fr-CA"/>
              </w:rPr>
            </w:pPr>
            <w:r w:rsidRPr="006025B7">
              <w:rPr>
                <w:color w:val="000000"/>
                <w:sz w:val="20"/>
                <w:lang w:val="fr-CA" w:eastAsia="fr-CA"/>
              </w:rPr>
              <w:t>TARP</w:t>
            </w:r>
          </w:p>
        </w:tc>
        <w:tc>
          <w:tcPr>
            <w:tcW w:w="992"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0.042</w:t>
            </w:r>
          </w:p>
        </w:tc>
        <w:tc>
          <w:tcPr>
            <w:tcW w:w="991" w:type="dxa"/>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0.068</w:t>
            </w:r>
          </w:p>
        </w:tc>
        <w:tc>
          <w:tcPr>
            <w:tcW w:w="567" w:type="dxa"/>
            <w:vAlign w:val="center"/>
          </w:tcPr>
          <w:p w:rsidR="007306B5" w:rsidRPr="006025B7" w:rsidRDefault="007306B5" w:rsidP="007306B5">
            <w:pPr>
              <w:jc w:val="center"/>
              <w:rPr>
                <w:color w:val="000000"/>
                <w:sz w:val="20"/>
                <w:lang w:val="fr-CA" w:eastAsia="fr-CA"/>
              </w:rPr>
            </w:pPr>
          </w:p>
        </w:tc>
        <w:tc>
          <w:tcPr>
            <w:tcW w:w="992"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0.296</w:t>
            </w:r>
          </w:p>
        </w:tc>
        <w:tc>
          <w:tcPr>
            <w:tcW w:w="993"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0.084</w:t>
            </w:r>
          </w:p>
        </w:tc>
        <w:tc>
          <w:tcPr>
            <w:tcW w:w="551" w:type="dxa"/>
            <w:vAlign w:val="center"/>
          </w:tcPr>
          <w:p w:rsidR="007306B5" w:rsidRPr="006025B7" w:rsidRDefault="007306B5" w:rsidP="007306B5">
            <w:pPr>
              <w:jc w:val="center"/>
              <w:rPr>
                <w:color w:val="000000"/>
                <w:sz w:val="20"/>
                <w:lang w:val="fr-CA" w:eastAsia="fr-CA"/>
              </w:rPr>
            </w:pPr>
          </w:p>
        </w:tc>
        <w:tc>
          <w:tcPr>
            <w:tcW w:w="108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0.00062</w:t>
            </w:r>
          </w:p>
        </w:tc>
        <w:tc>
          <w:tcPr>
            <w:tcW w:w="1098" w:type="dxa"/>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0.065</w:t>
            </w:r>
          </w:p>
        </w:tc>
      </w:tr>
      <w:tr w:rsidR="007306B5" w:rsidRPr="006025B7" w:rsidTr="007306B5">
        <w:trPr>
          <w:trHeight w:val="300"/>
          <w:jc w:val="center"/>
        </w:trPr>
        <w:tc>
          <w:tcPr>
            <w:tcW w:w="2169" w:type="dxa"/>
            <w:tcBorders>
              <w:bottom w:val="single" w:sz="4" w:space="0" w:color="auto"/>
            </w:tcBorders>
            <w:noWrap/>
            <w:vAlign w:val="center"/>
          </w:tcPr>
          <w:p w:rsidR="007306B5" w:rsidRPr="006025B7" w:rsidRDefault="007306B5" w:rsidP="007306B5">
            <w:pPr>
              <w:rPr>
                <w:color w:val="000000"/>
                <w:sz w:val="20"/>
                <w:lang w:val="fr-CA" w:eastAsia="fr-CA"/>
              </w:rPr>
            </w:pPr>
          </w:p>
        </w:tc>
        <w:tc>
          <w:tcPr>
            <w:tcW w:w="992" w:type="dxa"/>
            <w:tcBorders>
              <w:bottom w:val="single" w:sz="4" w:space="0" w:color="auto"/>
            </w:tcBorders>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(8.62)</w:t>
            </w:r>
          </w:p>
        </w:tc>
        <w:tc>
          <w:tcPr>
            <w:tcW w:w="991" w:type="dxa"/>
            <w:tcBorders>
              <w:bottom w:val="single" w:sz="4" w:space="0" w:color="auto"/>
            </w:tcBorders>
            <w:noWrap/>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(11.02)</w:t>
            </w:r>
          </w:p>
        </w:tc>
        <w:tc>
          <w:tcPr>
            <w:tcW w:w="567" w:type="dxa"/>
            <w:tcBorders>
              <w:bottom w:val="single" w:sz="4" w:space="0" w:color="auto"/>
            </w:tcBorders>
            <w:vAlign w:val="center"/>
          </w:tcPr>
          <w:p w:rsidR="007306B5" w:rsidRPr="006025B7" w:rsidRDefault="007306B5" w:rsidP="007306B5">
            <w:pPr>
              <w:jc w:val="center"/>
              <w:rPr>
                <w:color w:val="000000"/>
                <w:sz w:val="20"/>
                <w:lang w:val="fr-CA" w:eastAsia="fr-CA"/>
              </w:rPr>
            </w:pPr>
          </w:p>
        </w:tc>
        <w:tc>
          <w:tcPr>
            <w:tcW w:w="992" w:type="dxa"/>
            <w:tcBorders>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(15.35)</w:t>
            </w:r>
          </w:p>
        </w:tc>
        <w:tc>
          <w:tcPr>
            <w:tcW w:w="993" w:type="dxa"/>
            <w:tcBorders>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(3.33)</w:t>
            </w:r>
          </w:p>
        </w:tc>
        <w:tc>
          <w:tcPr>
            <w:tcW w:w="551" w:type="dxa"/>
            <w:tcBorders>
              <w:bottom w:val="single" w:sz="4" w:space="0" w:color="auto"/>
            </w:tcBorders>
            <w:vAlign w:val="center"/>
          </w:tcPr>
          <w:p w:rsidR="007306B5" w:rsidRPr="006025B7" w:rsidRDefault="007306B5" w:rsidP="007306B5">
            <w:pPr>
              <w:jc w:val="center"/>
              <w:rPr>
                <w:color w:val="000000"/>
                <w:sz w:val="20"/>
                <w:lang w:val="fr-CA" w:eastAsia="fr-CA"/>
              </w:rPr>
            </w:pPr>
          </w:p>
        </w:tc>
        <w:tc>
          <w:tcPr>
            <w:tcW w:w="1088" w:type="dxa"/>
            <w:tcBorders>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(0.14)</w:t>
            </w:r>
          </w:p>
        </w:tc>
        <w:tc>
          <w:tcPr>
            <w:tcW w:w="1098" w:type="dxa"/>
            <w:tcBorders>
              <w:bottom w:val="single" w:sz="4" w:space="0" w:color="auto"/>
            </w:tcBorders>
            <w:vAlign w:val="center"/>
          </w:tcPr>
          <w:p w:rsidR="007306B5" w:rsidRPr="006025B7" w:rsidRDefault="007306B5" w:rsidP="007306B5">
            <w:pPr>
              <w:jc w:val="center"/>
              <w:rPr>
                <w:color w:val="000000"/>
                <w:sz w:val="20"/>
                <w:lang w:val="fr-CA" w:eastAsia="fr-CA"/>
              </w:rPr>
            </w:pPr>
            <w:r w:rsidRPr="006025B7">
              <w:rPr>
                <w:color w:val="000000"/>
                <w:sz w:val="20"/>
                <w:lang w:val="fr-CA" w:eastAsia="fr-CA"/>
              </w:rPr>
              <w:t>(11.13)</w:t>
            </w:r>
          </w:p>
        </w:tc>
      </w:tr>
    </w:tbl>
    <w:p w:rsidR="00BA7929" w:rsidRPr="0027646D" w:rsidRDefault="00BA7929" w:rsidP="0027646D">
      <w:pPr>
        <w:pStyle w:val="Reference"/>
        <w:spacing w:before="0" w:after="0" w:line="240" w:lineRule="auto"/>
        <w:ind w:left="0" w:firstLine="0"/>
        <w:rPr>
          <w:b/>
          <w:szCs w:val="24"/>
        </w:rPr>
      </w:pPr>
      <w:r>
        <w:rPr>
          <w:b/>
          <w:sz w:val="32"/>
          <w:szCs w:val="32"/>
        </w:rPr>
        <w:br w:type="page"/>
      </w:r>
      <w:r w:rsidRPr="0027646D">
        <w:rPr>
          <w:b/>
          <w:szCs w:val="24"/>
        </w:rPr>
        <w:t>Table II</w:t>
      </w:r>
    </w:p>
    <w:p w:rsidR="00BA7929" w:rsidRPr="0027646D" w:rsidRDefault="00BA7929" w:rsidP="0027646D">
      <w:pPr>
        <w:pStyle w:val="Reference"/>
        <w:spacing w:before="0" w:after="0" w:line="240" w:lineRule="auto"/>
        <w:rPr>
          <w:b/>
          <w:szCs w:val="24"/>
        </w:rPr>
      </w:pPr>
      <w:r w:rsidRPr="0027646D">
        <w:rPr>
          <w:b/>
          <w:szCs w:val="24"/>
        </w:rPr>
        <w:t xml:space="preserve">Factor-Analytic Model Return Estimate Accuracy </w:t>
      </w:r>
    </w:p>
    <w:p w:rsidR="00BA7929" w:rsidRPr="00706893" w:rsidRDefault="00BA7929" w:rsidP="00F76ACC"/>
    <w:p w:rsidR="00BA7929" w:rsidRPr="00706893" w:rsidRDefault="00BA7929" w:rsidP="00F71A52">
      <w:pPr>
        <w:jc w:val="both"/>
        <w:rPr>
          <w:sz w:val="20"/>
        </w:rPr>
      </w:pPr>
      <w:r w:rsidRPr="00706893">
        <w:rPr>
          <w:sz w:val="20"/>
        </w:rPr>
        <w:t>Table I</w:t>
      </w:r>
      <w:r>
        <w:rPr>
          <w:sz w:val="20"/>
        </w:rPr>
        <w:t>I</w:t>
      </w:r>
      <w:r w:rsidRPr="00706893">
        <w:rPr>
          <w:sz w:val="20"/>
        </w:rPr>
        <w:t xml:space="preserve"> reports three measures of the predictive accuracy of the factor-analytic model for the banned subset of stocks in </w:t>
      </w:r>
      <w:r w:rsidRPr="0027646D">
        <w:rPr>
          <w:sz w:val="20"/>
        </w:rPr>
        <w:t>the pre-ban period</w:t>
      </w:r>
      <w:r w:rsidR="0027646D">
        <w:rPr>
          <w:sz w:val="20"/>
        </w:rPr>
        <w:t xml:space="preserve"> (</w:t>
      </w:r>
      <w:r w:rsidRPr="00706893">
        <w:rPr>
          <w:sz w:val="20"/>
        </w:rPr>
        <w:t>September 18, 2007 to September 18, 2008</w:t>
      </w:r>
      <w:r w:rsidR="0027646D">
        <w:rPr>
          <w:sz w:val="20"/>
        </w:rPr>
        <w:t>)</w:t>
      </w:r>
      <w:r w:rsidRPr="00706893">
        <w:rPr>
          <w:sz w:val="20"/>
        </w:rPr>
        <w:t xml:space="preserve"> </w:t>
      </w:r>
      <w:r w:rsidR="0027646D">
        <w:rPr>
          <w:sz w:val="20"/>
        </w:rPr>
        <w:t>and the post-ban period (</w:t>
      </w:r>
      <w:r w:rsidRPr="00706893">
        <w:rPr>
          <w:sz w:val="20"/>
        </w:rPr>
        <w:t>October 9, 2008 to December 31, 2008</w:t>
      </w:r>
      <w:r w:rsidR="0027646D">
        <w:rPr>
          <w:sz w:val="20"/>
        </w:rPr>
        <w:t>)</w:t>
      </w:r>
      <w:r w:rsidRPr="00706893">
        <w:rPr>
          <w:sz w:val="20"/>
        </w:rPr>
        <w:t xml:space="preserve">.  The first measure is the correlation coefficient between actual and estimated value-weighted index returns.  The estimated value-weighted returns are computed from the estimates of daily cross-sectional models that decompose the returns of the not-banned stocks into common factors.  The second measure is the </w:t>
      </w:r>
      <w:r w:rsidRPr="00706893">
        <w:rPr>
          <w:i/>
          <w:sz w:val="20"/>
        </w:rPr>
        <w:t>t</w:t>
      </w:r>
      <w:r w:rsidRPr="00706893">
        <w:rPr>
          <w:sz w:val="20"/>
        </w:rPr>
        <w:t xml:space="preserve">-statistic for the paired </w:t>
      </w:r>
      <w:r w:rsidRPr="00706893">
        <w:rPr>
          <w:i/>
          <w:sz w:val="20"/>
        </w:rPr>
        <w:t>t</w:t>
      </w:r>
      <w:r w:rsidRPr="00706893">
        <w:rPr>
          <w:sz w:val="20"/>
        </w:rPr>
        <w:t>-test of the equality of the daily mean returns.  The third measure is the correlation coefficient between the</w:t>
      </w:r>
      <w:r w:rsidR="0027646D">
        <w:rPr>
          <w:sz w:val="20"/>
        </w:rPr>
        <w:t xml:space="preserve"> factor returns estimated in the</w:t>
      </w:r>
      <w:r w:rsidRPr="00706893">
        <w:rPr>
          <w:sz w:val="20"/>
        </w:rPr>
        <w:t xml:space="preserve"> cross-sectional model (Equation 2) and the actual values of those factors.  Results are presented for four model specifications.  The three return factor models include the excess market (</w:t>
      </w:r>
      <w:r w:rsidRPr="00706893">
        <w:rPr>
          <w:i/>
          <w:sz w:val="20"/>
        </w:rPr>
        <w:t>ExMkt</w:t>
      </w:r>
      <w:r w:rsidRPr="00706893">
        <w:rPr>
          <w:sz w:val="20"/>
        </w:rPr>
        <w:t>), the TARP (</w:t>
      </w:r>
      <w:r w:rsidRPr="00706893">
        <w:rPr>
          <w:i/>
          <w:sz w:val="20"/>
        </w:rPr>
        <w:t>TARP</w:t>
      </w:r>
      <w:r w:rsidRPr="00706893">
        <w:rPr>
          <w:sz w:val="20"/>
        </w:rPr>
        <w:t>), and the banned stock (</w:t>
      </w:r>
      <w:r w:rsidRPr="00706893">
        <w:rPr>
          <w:i/>
          <w:sz w:val="20"/>
        </w:rPr>
        <w:t>Ban</w:t>
      </w:r>
      <w:r w:rsidRPr="00706893">
        <w:rPr>
          <w:sz w:val="20"/>
        </w:rPr>
        <w:t xml:space="preserve">) index returns.  </w:t>
      </w:r>
      <w:r w:rsidRPr="00706893">
        <w:rPr>
          <w:i/>
          <w:sz w:val="20"/>
        </w:rPr>
        <w:t>BAN</w:t>
      </w:r>
      <w:r w:rsidRPr="00706893">
        <w:rPr>
          <w:sz w:val="20"/>
        </w:rPr>
        <w:t xml:space="preserve"> is the value-weighted index return to the banned stocks on day </w:t>
      </w:r>
      <w:r w:rsidRPr="00706893">
        <w:rPr>
          <w:i/>
          <w:sz w:val="20"/>
        </w:rPr>
        <w:t>t</w:t>
      </w:r>
      <w:r w:rsidRPr="00706893">
        <w:rPr>
          <w:sz w:val="20"/>
        </w:rPr>
        <w:t xml:space="preserve">.  </w:t>
      </w:r>
      <w:r w:rsidRPr="00706893">
        <w:rPr>
          <w:i/>
          <w:sz w:val="20"/>
        </w:rPr>
        <w:t>TARP</w:t>
      </w:r>
      <w:r w:rsidRPr="00706893">
        <w:rPr>
          <w:sz w:val="20"/>
        </w:rPr>
        <w:t xml:space="preserve"> is the index return to the banned stocks weighted by TARP funds received in 2008 </w:t>
      </w:r>
      <w:r w:rsidR="00C729F0">
        <w:rPr>
          <w:sz w:val="20"/>
        </w:rPr>
        <w:t xml:space="preserve">standardized by </w:t>
      </w:r>
      <w:r w:rsidRPr="00706893">
        <w:rPr>
          <w:sz w:val="20"/>
        </w:rPr>
        <w:t>common stock market capitalization.</w:t>
      </w:r>
      <w:r w:rsidRPr="00706893">
        <w:t xml:space="preserve">  </w:t>
      </w:r>
      <w:r w:rsidRPr="00706893">
        <w:rPr>
          <w:sz w:val="20"/>
        </w:rPr>
        <w:t xml:space="preserve">The six return factor models </w:t>
      </w:r>
      <w:r w:rsidR="0027646D">
        <w:rPr>
          <w:sz w:val="20"/>
        </w:rPr>
        <w:t>are augmented to include the</w:t>
      </w:r>
      <w:r w:rsidRPr="00706893">
        <w:rPr>
          <w:sz w:val="20"/>
        </w:rPr>
        <w:t xml:space="preserve"> Fama-French size (</w:t>
      </w:r>
      <w:r w:rsidRPr="00706893">
        <w:rPr>
          <w:i/>
          <w:sz w:val="20"/>
        </w:rPr>
        <w:t>SMB</w:t>
      </w:r>
      <w:r w:rsidRPr="00706893">
        <w:rPr>
          <w:sz w:val="20"/>
        </w:rPr>
        <w:t>) and value (</w:t>
      </w:r>
      <w:r w:rsidRPr="00706893">
        <w:rPr>
          <w:i/>
          <w:sz w:val="20"/>
        </w:rPr>
        <w:t>HML</w:t>
      </w:r>
      <w:r w:rsidRPr="00706893">
        <w:rPr>
          <w:sz w:val="20"/>
        </w:rPr>
        <w:t>)</w:t>
      </w:r>
      <w:r w:rsidRPr="00706893">
        <w:rPr>
          <w:i/>
          <w:sz w:val="20"/>
        </w:rPr>
        <w:t xml:space="preserve"> </w:t>
      </w:r>
      <w:r w:rsidRPr="00706893">
        <w:rPr>
          <w:sz w:val="20"/>
        </w:rPr>
        <w:t>factors as well as the Carhart momentum factor (</w:t>
      </w:r>
      <w:r w:rsidRPr="00706893">
        <w:rPr>
          <w:i/>
          <w:sz w:val="20"/>
        </w:rPr>
        <w:t>MOM</w:t>
      </w:r>
      <w:r w:rsidRPr="00706893">
        <w:rPr>
          <w:sz w:val="20"/>
        </w:rPr>
        <w:t xml:space="preserve">).  The models </w:t>
      </w:r>
      <w:r w:rsidR="0027646D">
        <w:rPr>
          <w:sz w:val="20"/>
        </w:rPr>
        <w:t>are estimated separately including and excluding</w:t>
      </w:r>
      <w:r w:rsidRPr="00706893">
        <w:rPr>
          <w:sz w:val="20"/>
        </w:rPr>
        <w:t xml:space="preserve"> three stock </w:t>
      </w:r>
      <w:r w:rsidR="0027646D" w:rsidRPr="00706893">
        <w:rPr>
          <w:sz w:val="20"/>
        </w:rPr>
        <w:t>characteristics:</w:t>
      </w:r>
      <w:r w:rsidR="0027646D">
        <w:rPr>
          <w:sz w:val="20"/>
        </w:rPr>
        <w:t xml:space="preserve"> </w:t>
      </w:r>
      <w:r w:rsidRPr="00706893">
        <w:rPr>
          <w:sz w:val="20"/>
        </w:rPr>
        <w:t xml:space="preserve">inverse price, turnover calculated as the sum of trading volume over the last ten trading days divided by shares outstanding, and volatility </w:t>
      </w:r>
      <w:r w:rsidR="006F3E19">
        <w:rPr>
          <w:sz w:val="20"/>
        </w:rPr>
        <w:t xml:space="preserve">is </w:t>
      </w:r>
      <w:r w:rsidRPr="00706893">
        <w:rPr>
          <w:sz w:val="20"/>
        </w:rPr>
        <w:t xml:space="preserve">calculated as the square root of mean squared returns over </w:t>
      </w:r>
      <w:r w:rsidR="006F3E19">
        <w:rPr>
          <w:sz w:val="20"/>
        </w:rPr>
        <w:t xml:space="preserve">the prior </w:t>
      </w:r>
      <w:r w:rsidRPr="00706893">
        <w:rPr>
          <w:sz w:val="20"/>
        </w:rPr>
        <w:t>ten trading days.</w:t>
      </w:r>
    </w:p>
    <w:p w:rsidR="00BA7929" w:rsidRPr="00706893" w:rsidRDefault="00BA7929" w:rsidP="00F76ACC"/>
    <w:tbl>
      <w:tblPr>
        <w:tblW w:w="0" w:type="auto"/>
        <w:tblInd w:w="93" w:type="dxa"/>
        <w:tblLayout w:type="fixed"/>
        <w:tblLook w:val="00A0" w:firstRow="1" w:lastRow="0" w:firstColumn="1" w:lastColumn="0" w:noHBand="0" w:noVBand="0"/>
      </w:tblPr>
      <w:tblGrid>
        <w:gridCol w:w="2132"/>
        <w:gridCol w:w="2278"/>
        <w:gridCol w:w="1275"/>
        <w:gridCol w:w="1134"/>
        <w:gridCol w:w="284"/>
        <w:gridCol w:w="1134"/>
        <w:gridCol w:w="1246"/>
      </w:tblGrid>
      <w:tr w:rsidR="00C729F0" w:rsidRPr="00C729F0" w:rsidTr="00C729F0">
        <w:trPr>
          <w:trHeight w:val="378"/>
        </w:trPr>
        <w:tc>
          <w:tcPr>
            <w:tcW w:w="2132" w:type="dxa"/>
            <w:tcBorders>
              <w:top w:val="single" w:sz="4" w:space="0" w:color="auto"/>
              <w:bottom w:val="single" w:sz="4" w:space="0" w:color="auto"/>
            </w:tcBorders>
          </w:tcPr>
          <w:p w:rsidR="00C729F0" w:rsidRPr="00C729F0" w:rsidRDefault="00C729F0" w:rsidP="00867DB0">
            <w:pPr>
              <w:jc w:val="center"/>
              <w:rPr>
                <w:sz w:val="20"/>
                <w:lang w:eastAsia="en-CA"/>
              </w:rPr>
            </w:pPr>
          </w:p>
        </w:tc>
        <w:tc>
          <w:tcPr>
            <w:tcW w:w="7351" w:type="dxa"/>
            <w:gridSpan w:val="6"/>
            <w:tcBorders>
              <w:top w:val="single" w:sz="4" w:space="0" w:color="auto"/>
              <w:bottom w:val="single" w:sz="4" w:space="0" w:color="auto"/>
            </w:tcBorders>
            <w:noWrap/>
            <w:vAlign w:val="center"/>
          </w:tcPr>
          <w:p w:rsidR="00C729F0" w:rsidRPr="00C729F0" w:rsidRDefault="00C729F0" w:rsidP="00867DB0">
            <w:pPr>
              <w:jc w:val="center"/>
              <w:rPr>
                <w:sz w:val="20"/>
                <w:lang w:eastAsia="en-CA"/>
              </w:rPr>
            </w:pPr>
            <w:r w:rsidRPr="00C729F0">
              <w:rPr>
                <w:sz w:val="20"/>
                <w:lang w:eastAsia="en-CA"/>
              </w:rPr>
              <w:t xml:space="preserve">Panel A: Index Return Accuracy </w:t>
            </w:r>
          </w:p>
        </w:tc>
      </w:tr>
      <w:tr w:rsidR="00C729F0" w:rsidRPr="00C729F0" w:rsidTr="00697743">
        <w:trPr>
          <w:trHeight w:val="305"/>
        </w:trPr>
        <w:tc>
          <w:tcPr>
            <w:tcW w:w="4410" w:type="dxa"/>
            <w:gridSpan w:val="2"/>
            <w:tcBorders>
              <w:top w:val="single" w:sz="4" w:space="0" w:color="auto"/>
            </w:tcBorders>
            <w:noWrap/>
            <w:vAlign w:val="center"/>
          </w:tcPr>
          <w:p w:rsidR="00C729F0" w:rsidRPr="00C729F0" w:rsidRDefault="00C729F0" w:rsidP="00697743">
            <w:pPr>
              <w:jc w:val="center"/>
              <w:rPr>
                <w:sz w:val="20"/>
                <w:lang w:eastAsia="en-CA"/>
              </w:rPr>
            </w:pPr>
          </w:p>
        </w:tc>
        <w:tc>
          <w:tcPr>
            <w:tcW w:w="2409" w:type="dxa"/>
            <w:gridSpan w:val="2"/>
            <w:tcBorders>
              <w:top w:val="single" w:sz="4" w:space="0" w:color="auto"/>
              <w:bottom w:val="single" w:sz="4" w:space="0" w:color="auto"/>
            </w:tcBorders>
            <w:vAlign w:val="center"/>
          </w:tcPr>
          <w:p w:rsidR="00C729F0" w:rsidRPr="00C729F0" w:rsidRDefault="00697743" w:rsidP="00697743">
            <w:pPr>
              <w:jc w:val="center"/>
              <w:rPr>
                <w:sz w:val="20"/>
                <w:lang w:eastAsia="en-CA"/>
              </w:rPr>
            </w:pPr>
            <w:r>
              <w:rPr>
                <w:sz w:val="20"/>
                <w:lang w:eastAsia="en-CA"/>
              </w:rPr>
              <w:t>Correlation C</w:t>
            </w:r>
            <w:r w:rsidR="00C729F0" w:rsidRPr="00C729F0">
              <w:rPr>
                <w:sz w:val="20"/>
                <w:lang w:eastAsia="en-CA"/>
              </w:rPr>
              <w:t>oefficient</w:t>
            </w:r>
          </w:p>
        </w:tc>
        <w:tc>
          <w:tcPr>
            <w:tcW w:w="284" w:type="dxa"/>
            <w:tcBorders>
              <w:top w:val="single" w:sz="4" w:space="0" w:color="auto"/>
            </w:tcBorders>
            <w:vAlign w:val="center"/>
          </w:tcPr>
          <w:p w:rsidR="00C729F0" w:rsidRPr="00C729F0" w:rsidRDefault="00C729F0" w:rsidP="00697743">
            <w:pPr>
              <w:jc w:val="center"/>
              <w:rPr>
                <w:sz w:val="20"/>
                <w:lang w:eastAsia="en-CA"/>
              </w:rPr>
            </w:pPr>
          </w:p>
        </w:tc>
        <w:tc>
          <w:tcPr>
            <w:tcW w:w="2380" w:type="dxa"/>
            <w:gridSpan w:val="2"/>
            <w:tcBorders>
              <w:top w:val="single" w:sz="4" w:space="0" w:color="auto"/>
              <w:bottom w:val="single" w:sz="4" w:space="0" w:color="auto"/>
            </w:tcBorders>
            <w:vAlign w:val="center"/>
          </w:tcPr>
          <w:p w:rsidR="00C729F0" w:rsidRPr="00C729F0" w:rsidRDefault="00C729F0" w:rsidP="00697743">
            <w:pPr>
              <w:jc w:val="center"/>
              <w:rPr>
                <w:sz w:val="20"/>
                <w:lang w:eastAsia="en-CA"/>
              </w:rPr>
            </w:pPr>
            <w:r w:rsidRPr="00C729F0">
              <w:rPr>
                <w:sz w:val="20"/>
                <w:lang w:eastAsia="en-CA"/>
              </w:rPr>
              <w:t>E</w:t>
            </w:r>
            <w:r w:rsidR="00697743">
              <w:rPr>
                <w:sz w:val="20"/>
                <w:lang w:eastAsia="en-CA"/>
              </w:rPr>
              <w:t>quality of M</w:t>
            </w:r>
            <w:r w:rsidRPr="00C729F0">
              <w:rPr>
                <w:sz w:val="20"/>
                <w:lang w:eastAsia="en-CA"/>
              </w:rPr>
              <w:t>eans</w:t>
            </w:r>
          </w:p>
        </w:tc>
      </w:tr>
      <w:tr w:rsidR="00C729F0" w:rsidRPr="00C729F0" w:rsidTr="00697743">
        <w:trPr>
          <w:trHeight w:val="255"/>
        </w:trPr>
        <w:tc>
          <w:tcPr>
            <w:tcW w:w="4410" w:type="dxa"/>
            <w:gridSpan w:val="2"/>
            <w:tcBorders>
              <w:bottom w:val="single" w:sz="4" w:space="0" w:color="auto"/>
            </w:tcBorders>
            <w:noWrap/>
            <w:vAlign w:val="center"/>
          </w:tcPr>
          <w:p w:rsidR="00C729F0" w:rsidRPr="00C729F0" w:rsidRDefault="00C729F0" w:rsidP="00697743">
            <w:pPr>
              <w:rPr>
                <w:sz w:val="20"/>
                <w:lang w:eastAsia="en-CA"/>
              </w:rPr>
            </w:pPr>
            <w:r w:rsidRPr="00C729F0">
              <w:rPr>
                <w:sz w:val="20"/>
                <w:lang w:eastAsia="en-CA"/>
              </w:rPr>
              <w:t>Model</w:t>
            </w:r>
          </w:p>
        </w:tc>
        <w:tc>
          <w:tcPr>
            <w:tcW w:w="1275" w:type="dxa"/>
            <w:tcBorders>
              <w:bottom w:val="single" w:sz="4" w:space="0" w:color="auto"/>
            </w:tcBorders>
            <w:noWrap/>
            <w:vAlign w:val="center"/>
          </w:tcPr>
          <w:p w:rsidR="00C729F0" w:rsidRPr="00C729F0" w:rsidRDefault="00C729F0" w:rsidP="00697743">
            <w:pPr>
              <w:jc w:val="center"/>
              <w:rPr>
                <w:sz w:val="20"/>
                <w:lang w:eastAsia="en-CA"/>
              </w:rPr>
            </w:pPr>
            <w:r w:rsidRPr="00C729F0">
              <w:rPr>
                <w:sz w:val="20"/>
                <w:lang w:eastAsia="en-CA"/>
              </w:rPr>
              <w:t>Pre</w:t>
            </w:r>
          </w:p>
        </w:tc>
        <w:tc>
          <w:tcPr>
            <w:tcW w:w="1134" w:type="dxa"/>
            <w:tcBorders>
              <w:bottom w:val="single" w:sz="4" w:space="0" w:color="auto"/>
            </w:tcBorders>
            <w:noWrap/>
            <w:vAlign w:val="center"/>
          </w:tcPr>
          <w:p w:rsidR="00C729F0" w:rsidRPr="00C729F0" w:rsidRDefault="00C729F0" w:rsidP="00697743">
            <w:pPr>
              <w:jc w:val="center"/>
              <w:rPr>
                <w:sz w:val="20"/>
                <w:lang w:eastAsia="en-CA"/>
              </w:rPr>
            </w:pPr>
            <w:r w:rsidRPr="00C729F0">
              <w:rPr>
                <w:sz w:val="20"/>
                <w:lang w:eastAsia="en-CA"/>
              </w:rPr>
              <w:t>Post</w:t>
            </w:r>
          </w:p>
        </w:tc>
        <w:tc>
          <w:tcPr>
            <w:tcW w:w="284" w:type="dxa"/>
            <w:tcBorders>
              <w:bottom w:val="single" w:sz="4" w:space="0" w:color="auto"/>
            </w:tcBorders>
            <w:vAlign w:val="center"/>
          </w:tcPr>
          <w:p w:rsidR="00C729F0" w:rsidRPr="00C729F0" w:rsidRDefault="00C729F0" w:rsidP="00697743">
            <w:pPr>
              <w:jc w:val="center"/>
              <w:rPr>
                <w:sz w:val="20"/>
                <w:lang w:eastAsia="en-CA"/>
              </w:rPr>
            </w:pPr>
          </w:p>
        </w:tc>
        <w:tc>
          <w:tcPr>
            <w:tcW w:w="1134" w:type="dxa"/>
            <w:tcBorders>
              <w:bottom w:val="single" w:sz="4" w:space="0" w:color="auto"/>
            </w:tcBorders>
            <w:vAlign w:val="center"/>
          </w:tcPr>
          <w:p w:rsidR="00C729F0" w:rsidRPr="00C729F0" w:rsidRDefault="00C729F0" w:rsidP="00697743">
            <w:pPr>
              <w:jc w:val="center"/>
              <w:rPr>
                <w:sz w:val="20"/>
                <w:lang w:eastAsia="en-CA"/>
              </w:rPr>
            </w:pPr>
            <w:r w:rsidRPr="00C729F0">
              <w:rPr>
                <w:sz w:val="20"/>
                <w:lang w:eastAsia="en-CA"/>
              </w:rPr>
              <w:t>Pre</w:t>
            </w:r>
          </w:p>
        </w:tc>
        <w:tc>
          <w:tcPr>
            <w:tcW w:w="1246" w:type="dxa"/>
            <w:tcBorders>
              <w:bottom w:val="single" w:sz="4" w:space="0" w:color="auto"/>
            </w:tcBorders>
            <w:vAlign w:val="center"/>
          </w:tcPr>
          <w:p w:rsidR="00C729F0" w:rsidRPr="00C729F0" w:rsidRDefault="00C729F0" w:rsidP="00697743">
            <w:pPr>
              <w:jc w:val="center"/>
              <w:rPr>
                <w:sz w:val="20"/>
                <w:lang w:eastAsia="en-CA"/>
              </w:rPr>
            </w:pPr>
            <w:r w:rsidRPr="00C729F0">
              <w:rPr>
                <w:sz w:val="20"/>
                <w:lang w:eastAsia="en-CA"/>
              </w:rPr>
              <w:t>Post</w:t>
            </w:r>
          </w:p>
        </w:tc>
      </w:tr>
      <w:tr w:rsidR="00C729F0" w:rsidRPr="00C729F0" w:rsidTr="00697743">
        <w:trPr>
          <w:trHeight w:val="503"/>
        </w:trPr>
        <w:tc>
          <w:tcPr>
            <w:tcW w:w="4410" w:type="dxa"/>
            <w:gridSpan w:val="2"/>
            <w:noWrap/>
            <w:vAlign w:val="center"/>
          </w:tcPr>
          <w:p w:rsidR="00C729F0" w:rsidRPr="00C729F0" w:rsidRDefault="00C729F0" w:rsidP="00697743">
            <w:pPr>
              <w:rPr>
                <w:sz w:val="20"/>
                <w:lang w:eastAsia="en-CA"/>
              </w:rPr>
            </w:pPr>
            <w:r w:rsidRPr="00C729F0">
              <w:rPr>
                <w:sz w:val="20"/>
                <w:lang w:eastAsia="en-CA"/>
              </w:rPr>
              <w:t>3 Return Factor Model</w:t>
            </w:r>
          </w:p>
        </w:tc>
        <w:tc>
          <w:tcPr>
            <w:tcW w:w="1275" w:type="dxa"/>
            <w:noWrap/>
            <w:vAlign w:val="center"/>
          </w:tcPr>
          <w:p w:rsidR="00C729F0" w:rsidRPr="00C729F0" w:rsidRDefault="00C729F0" w:rsidP="00697743">
            <w:pPr>
              <w:jc w:val="center"/>
              <w:rPr>
                <w:sz w:val="20"/>
                <w:lang w:eastAsia="en-CA"/>
              </w:rPr>
            </w:pPr>
            <w:r w:rsidRPr="00C729F0">
              <w:rPr>
                <w:sz w:val="20"/>
                <w:lang w:eastAsia="en-CA"/>
              </w:rPr>
              <w:t>0.9274</w:t>
            </w:r>
          </w:p>
        </w:tc>
        <w:tc>
          <w:tcPr>
            <w:tcW w:w="1134" w:type="dxa"/>
            <w:noWrap/>
            <w:vAlign w:val="center"/>
          </w:tcPr>
          <w:p w:rsidR="00C729F0" w:rsidRPr="00C729F0" w:rsidRDefault="00C729F0" w:rsidP="00697743">
            <w:pPr>
              <w:jc w:val="center"/>
              <w:rPr>
                <w:sz w:val="20"/>
                <w:lang w:eastAsia="en-CA"/>
              </w:rPr>
            </w:pPr>
            <w:r w:rsidRPr="00C729F0">
              <w:rPr>
                <w:sz w:val="20"/>
                <w:lang w:eastAsia="en-CA"/>
              </w:rPr>
              <w:t>0.9340</w:t>
            </w:r>
          </w:p>
        </w:tc>
        <w:tc>
          <w:tcPr>
            <w:tcW w:w="284" w:type="dxa"/>
            <w:vAlign w:val="center"/>
          </w:tcPr>
          <w:p w:rsidR="00C729F0" w:rsidRPr="00C729F0" w:rsidRDefault="00C729F0" w:rsidP="00697743">
            <w:pPr>
              <w:jc w:val="center"/>
              <w:rPr>
                <w:sz w:val="20"/>
                <w:lang w:eastAsia="en-CA"/>
              </w:rPr>
            </w:pPr>
          </w:p>
        </w:tc>
        <w:tc>
          <w:tcPr>
            <w:tcW w:w="1134" w:type="dxa"/>
            <w:vAlign w:val="center"/>
          </w:tcPr>
          <w:p w:rsidR="00C729F0" w:rsidRPr="00C729F0" w:rsidRDefault="00C729F0" w:rsidP="00697743">
            <w:pPr>
              <w:jc w:val="center"/>
              <w:rPr>
                <w:sz w:val="20"/>
                <w:lang w:eastAsia="en-CA"/>
              </w:rPr>
            </w:pPr>
            <w:r w:rsidRPr="00C729F0">
              <w:rPr>
                <w:sz w:val="20"/>
                <w:lang w:eastAsia="en-CA"/>
              </w:rPr>
              <w:t>0.37</w:t>
            </w:r>
          </w:p>
        </w:tc>
        <w:tc>
          <w:tcPr>
            <w:tcW w:w="1246" w:type="dxa"/>
            <w:vAlign w:val="center"/>
          </w:tcPr>
          <w:p w:rsidR="00C729F0" w:rsidRPr="00C729F0" w:rsidRDefault="00C729F0" w:rsidP="00697743">
            <w:pPr>
              <w:jc w:val="center"/>
              <w:rPr>
                <w:sz w:val="20"/>
                <w:lang w:eastAsia="en-CA"/>
              </w:rPr>
            </w:pPr>
            <w:r w:rsidRPr="00C729F0">
              <w:rPr>
                <w:sz w:val="20"/>
                <w:lang w:eastAsia="en-CA"/>
              </w:rPr>
              <w:t>0.47</w:t>
            </w:r>
          </w:p>
        </w:tc>
      </w:tr>
      <w:tr w:rsidR="00C729F0" w:rsidRPr="00C729F0" w:rsidTr="00697743">
        <w:trPr>
          <w:trHeight w:val="536"/>
        </w:trPr>
        <w:tc>
          <w:tcPr>
            <w:tcW w:w="4410" w:type="dxa"/>
            <w:gridSpan w:val="2"/>
            <w:noWrap/>
            <w:vAlign w:val="center"/>
          </w:tcPr>
          <w:p w:rsidR="00C729F0" w:rsidRPr="00C729F0" w:rsidRDefault="00C729F0" w:rsidP="00697743">
            <w:pPr>
              <w:rPr>
                <w:sz w:val="20"/>
                <w:lang w:eastAsia="en-CA"/>
              </w:rPr>
            </w:pPr>
            <w:r w:rsidRPr="00C729F0">
              <w:rPr>
                <w:sz w:val="20"/>
                <w:lang w:eastAsia="en-CA"/>
              </w:rPr>
              <w:t>3 Return Factor Model</w:t>
            </w:r>
          </w:p>
          <w:p w:rsidR="00C729F0" w:rsidRPr="00C729F0" w:rsidRDefault="00C729F0" w:rsidP="00697743">
            <w:pPr>
              <w:rPr>
                <w:sz w:val="20"/>
                <w:lang w:eastAsia="en-CA"/>
              </w:rPr>
            </w:pPr>
            <w:r w:rsidRPr="00C729F0">
              <w:rPr>
                <w:sz w:val="20"/>
                <w:lang w:eastAsia="en-CA"/>
              </w:rPr>
              <w:t>with 3 Stock Characteristic Factors</w:t>
            </w:r>
          </w:p>
        </w:tc>
        <w:tc>
          <w:tcPr>
            <w:tcW w:w="1275" w:type="dxa"/>
            <w:noWrap/>
            <w:vAlign w:val="center"/>
          </w:tcPr>
          <w:p w:rsidR="00C729F0" w:rsidRPr="00C729F0" w:rsidRDefault="00C729F0" w:rsidP="00697743">
            <w:pPr>
              <w:jc w:val="center"/>
              <w:rPr>
                <w:sz w:val="20"/>
                <w:lang w:eastAsia="en-CA"/>
              </w:rPr>
            </w:pPr>
            <w:r w:rsidRPr="00C729F0">
              <w:rPr>
                <w:sz w:val="20"/>
                <w:lang w:eastAsia="en-CA"/>
              </w:rPr>
              <w:t>0.9306</w:t>
            </w:r>
          </w:p>
        </w:tc>
        <w:tc>
          <w:tcPr>
            <w:tcW w:w="1134" w:type="dxa"/>
            <w:noWrap/>
            <w:vAlign w:val="center"/>
          </w:tcPr>
          <w:p w:rsidR="00C729F0" w:rsidRPr="00C729F0" w:rsidRDefault="00C729F0" w:rsidP="00697743">
            <w:pPr>
              <w:jc w:val="center"/>
              <w:rPr>
                <w:sz w:val="20"/>
                <w:lang w:eastAsia="en-CA"/>
              </w:rPr>
            </w:pPr>
            <w:r w:rsidRPr="00C729F0">
              <w:rPr>
                <w:sz w:val="20"/>
                <w:lang w:eastAsia="en-CA"/>
              </w:rPr>
              <w:t>0.9335</w:t>
            </w:r>
          </w:p>
        </w:tc>
        <w:tc>
          <w:tcPr>
            <w:tcW w:w="284" w:type="dxa"/>
            <w:vAlign w:val="center"/>
          </w:tcPr>
          <w:p w:rsidR="00C729F0" w:rsidRPr="00C729F0" w:rsidRDefault="00C729F0" w:rsidP="00697743">
            <w:pPr>
              <w:jc w:val="center"/>
              <w:rPr>
                <w:sz w:val="20"/>
                <w:lang w:eastAsia="en-CA"/>
              </w:rPr>
            </w:pPr>
          </w:p>
        </w:tc>
        <w:tc>
          <w:tcPr>
            <w:tcW w:w="1134" w:type="dxa"/>
            <w:vAlign w:val="center"/>
          </w:tcPr>
          <w:p w:rsidR="00C729F0" w:rsidRPr="00C729F0" w:rsidRDefault="00C729F0" w:rsidP="00697743">
            <w:pPr>
              <w:jc w:val="center"/>
              <w:rPr>
                <w:sz w:val="20"/>
                <w:lang w:eastAsia="en-CA"/>
              </w:rPr>
            </w:pPr>
            <w:r w:rsidRPr="00C729F0">
              <w:rPr>
                <w:sz w:val="20"/>
                <w:lang w:eastAsia="en-CA"/>
              </w:rPr>
              <w:t>0.08</w:t>
            </w:r>
          </w:p>
        </w:tc>
        <w:tc>
          <w:tcPr>
            <w:tcW w:w="1246" w:type="dxa"/>
            <w:vAlign w:val="center"/>
          </w:tcPr>
          <w:p w:rsidR="00C729F0" w:rsidRPr="00C729F0" w:rsidRDefault="00C729F0" w:rsidP="00697743">
            <w:pPr>
              <w:jc w:val="center"/>
              <w:rPr>
                <w:sz w:val="20"/>
                <w:lang w:eastAsia="en-CA"/>
              </w:rPr>
            </w:pPr>
            <w:r w:rsidRPr="00C729F0">
              <w:rPr>
                <w:sz w:val="20"/>
                <w:lang w:eastAsia="en-CA"/>
              </w:rPr>
              <w:t>0.09</w:t>
            </w:r>
          </w:p>
        </w:tc>
      </w:tr>
      <w:tr w:rsidR="00C729F0" w:rsidRPr="00C729F0" w:rsidTr="00697743">
        <w:trPr>
          <w:trHeight w:val="558"/>
        </w:trPr>
        <w:tc>
          <w:tcPr>
            <w:tcW w:w="4410" w:type="dxa"/>
            <w:gridSpan w:val="2"/>
            <w:noWrap/>
            <w:vAlign w:val="center"/>
          </w:tcPr>
          <w:p w:rsidR="00C729F0" w:rsidRPr="00C729F0" w:rsidRDefault="00C729F0" w:rsidP="00697743">
            <w:pPr>
              <w:rPr>
                <w:sz w:val="20"/>
                <w:lang w:eastAsia="en-CA"/>
              </w:rPr>
            </w:pPr>
            <w:r w:rsidRPr="00C729F0">
              <w:rPr>
                <w:sz w:val="20"/>
                <w:lang w:eastAsia="en-CA"/>
              </w:rPr>
              <w:t>6 Return Factor Model</w:t>
            </w:r>
          </w:p>
        </w:tc>
        <w:tc>
          <w:tcPr>
            <w:tcW w:w="1275" w:type="dxa"/>
            <w:noWrap/>
            <w:vAlign w:val="center"/>
          </w:tcPr>
          <w:p w:rsidR="00C729F0" w:rsidRPr="00C729F0" w:rsidRDefault="00C729F0" w:rsidP="00697743">
            <w:pPr>
              <w:jc w:val="center"/>
              <w:rPr>
                <w:sz w:val="20"/>
                <w:lang w:eastAsia="en-CA"/>
              </w:rPr>
            </w:pPr>
            <w:r w:rsidRPr="00C729F0">
              <w:rPr>
                <w:sz w:val="20"/>
                <w:lang w:eastAsia="en-CA"/>
              </w:rPr>
              <w:t>0.9824</w:t>
            </w:r>
          </w:p>
        </w:tc>
        <w:tc>
          <w:tcPr>
            <w:tcW w:w="1134" w:type="dxa"/>
            <w:noWrap/>
            <w:vAlign w:val="center"/>
          </w:tcPr>
          <w:p w:rsidR="00C729F0" w:rsidRPr="00C729F0" w:rsidRDefault="00C729F0" w:rsidP="00697743">
            <w:pPr>
              <w:jc w:val="center"/>
              <w:rPr>
                <w:sz w:val="20"/>
                <w:lang w:eastAsia="en-CA"/>
              </w:rPr>
            </w:pPr>
            <w:r w:rsidRPr="00C729F0">
              <w:rPr>
                <w:sz w:val="20"/>
                <w:lang w:eastAsia="en-CA"/>
              </w:rPr>
              <w:t>0.9640</w:t>
            </w:r>
          </w:p>
        </w:tc>
        <w:tc>
          <w:tcPr>
            <w:tcW w:w="284" w:type="dxa"/>
            <w:vAlign w:val="center"/>
          </w:tcPr>
          <w:p w:rsidR="00C729F0" w:rsidRPr="00C729F0" w:rsidRDefault="00C729F0" w:rsidP="00697743">
            <w:pPr>
              <w:jc w:val="center"/>
              <w:rPr>
                <w:sz w:val="20"/>
                <w:lang w:eastAsia="en-CA"/>
              </w:rPr>
            </w:pPr>
          </w:p>
        </w:tc>
        <w:tc>
          <w:tcPr>
            <w:tcW w:w="1134" w:type="dxa"/>
            <w:vAlign w:val="center"/>
          </w:tcPr>
          <w:p w:rsidR="00C729F0" w:rsidRPr="00C729F0" w:rsidRDefault="00C729F0" w:rsidP="00697743">
            <w:pPr>
              <w:jc w:val="center"/>
              <w:rPr>
                <w:sz w:val="20"/>
                <w:lang w:eastAsia="en-CA"/>
              </w:rPr>
            </w:pPr>
            <w:r w:rsidRPr="00C729F0">
              <w:rPr>
                <w:sz w:val="20"/>
                <w:lang w:eastAsia="en-CA"/>
              </w:rPr>
              <w:t>0.19</w:t>
            </w:r>
          </w:p>
        </w:tc>
        <w:tc>
          <w:tcPr>
            <w:tcW w:w="1246" w:type="dxa"/>
            <w:vAlign w:val="center"/>
          </w:tcPr>
          <w:p w:rsidR="00C729F0" w:rsidRPr="00C729F0" w:rsidRDefault="00C729F0" w:rsidP="00697743">
            <w:pPr>
              <w:jc w:val="center"/>
              <w:rPr>
                <w:sz w:val="20"/>
                <w:lang w:eastAsia="en-CA"/>
              </w:rPr>
            </w:pPr>
            <w:r w:rsidRPr="00C729F0">
              <w:rPr>
                <w:sz w:val="20"/>
                <w:lang w:eastAsia="en-CA"/>
              </w:rPr>
              <w:t>0.06</w:t>
            </w:r>
          </w:p>
        </w:tc>
      </w:tr>
      <w:tr w:rsidR="00C729F0" w:rsidRPr="00C729F0" w:rsidTr="00697743">
        <w:trPr>
          <w:trHeight w:val="255"/>
        </w:trPr>
        <w:tc>
          <w:tcPr>
            <w:tcW w:w="4410" w:type="dxa"/>
            <w:gridSpan w:val="2"/>
            <w:tcBorders>
              <w:bottom w:val="single" w:sz="4" w:space="0" w:color="auto"/>
            </w:tcBorders>
            <w:noWrap/>
            <w:vAlign w:val="center"/>
          </w:tcPr>
          <w:p w:rsidR="00C729F0" w:rsidRPr="00C729F0" w:rsidRDefault="00C729F0" w:rsidP="00697743">
            <w:pPr>
              <w:rPr>
                <w:sz w:val="20"/>
                <w:lang w:eastAsia="en-CA"/>
              </w:rPr>
            </w:pPr>
            <w:r w:rsidRPr="00C729F0">
              <w:rPr>
                <w:sz w:val="20"/>
                <w:lang w:eastAsia="en-CA"/>
              </w:rPr>
              <w:t>6 Return Factor Model</w:t>
            </w:r>
          </w:p>
          <w:p w:rsidR="00C729F0" w:rsidRPr="00C729F0" w:rsidRDefault="00C729F0" w:rsidP="00697743">
            <w:pPr>
              <w:rPr>
                <w:sz w:val="20"/>
                <w:lang w:eastAsia="en-CA"/>
              </w:rPr>
            </w:pPr>
            <w:r w:rsidRPr="00C729F0">
              <w:rPr>
                <w:sz w:val="20"/>
                <w:lang w:eastAsia="en-CA"/>
              </w:rPr>
              <w:t>with 3 Stock Characteristic Factors</w:t>
            </w:r>
          </w:p>
        </w:tc>
        <w:tc>
          <w:tcPr>
            <w:tcW w:w="1275" w:type="dxa"/>
            <w:tcBorders>
              <w:bottom w:val="single" w:sz="4" w:space="0" w:color="auto"/>
            </w:tcBorders>
            <w:noWrap/>
            <w:vAlign w:val="center"/>
          </w:tcPr>
          <w:p w:rsidR="00C729F0" w:rsidRPr="00C729F0" w:rsidRDefault="00C729F0" w:rsidP="00697743">
            <w:pPr>
              <w:jc w:val="center"/>
              <w:rPr>
                <w:sz w:val="20"/>
                <w:lang w:eastAsia="en-CA"/>
              </w:rPr>
            </w:pPr>
            <w:r w:rsidRPr="00C729F0">
              <w:rPr>
                <w:sz w:val="20"/>
                <w:lang w:eastAsia="en-CA"/>
              </w:rPr>
              <w:t>0.9829</w:t>
            </w:r>
          </w:p>
        </w:tc>
        <w:tc>
          <w:tcPr>
            <w:tcW w:w="1134" w:type="dxa"/>
            <w:tcBorders>
              <w:bottom w:val="single" w:sz="4" w:space="0" w:color="auto"/>
            </w:tcBorders>
            <w:noWrap/>
            <w:vAlign w:val="center"/>
          </w:tcPr>
          <w:p w:rsidR="00C729F0" w:rsidRPr="00C729F0" w:rsidRDefault="00C729F0" w:rsidP="00697743">
            <w:pPr>
              <w:jc w:val="center"/>
              <w:rPr>
                <w:sz w:val="20"/>
                <w:lang w:eastAsia="en-CA"/>
              </w:rPr>
            </w:pPr>
            <w:r w:rsidRPr="00C729F0">
              <w:rPr>
                <w:sz w:val="20"/>
                <w:lang w:eastAsia="en-CA"/>
              </w:rPr>
              <w:t>0.9606</w:t>
            </w:r>
          </w:p>
        </w:tc>
        <w:tc>
          <w:tcPr>
            <w:tcW w:w="284" w:type="dxa"/>
            <w:tcBorders>
              <w:bottom w:val="single" w:sz="4" w:space="0" w:color="auto"/>
            </w:tcBorders>
            <w:vAlign w:val="center"/>
          </w:tcPr>
          <w:p w:rsidR="00C729F0" w:rsidRPr="00C729F0" w:rsidRDefault="00C729F0" w:rsidP="00697743">
            <w:pPr>
              <w:jc w:val="center"/>
              <w:rPr>
                <w:sz w:val="20"/>
                <w:lang w:eastAsia="en-CA"/>
              </w:rPr>
            </w:pPr>
          </w:p>
        </w:tc>
        <w:tc>
          <w:tcPr>
            <w:tcW w:w="1134" w:type="dxa"/>
            <w:tcBorders>
              <w:bottom w:val="single" w:sz="4" w:space="0" w:color="auto"/>
            </w:tcBorders>
            <w:vAlign w:val="center"/>
          </w:tcPr>
          <w:p w:rsidR="00C729F0" w:rsidRPr="00C729F0" w:rsidRDefault="00C729F0" w:rsidP="00697743">
            <w:pPr>
              <w:jc w:val="center"/>
              <w:rPr>
                <w:sz w:val="20"/>
                <w:lang w:eastAsia="en-CA"/>
              </w:rPr>
            </w:pPr>
            <w:r w:rsidRPr="00C729F0">
              <w:rPr>
                <w:sz w:val="20"/>
                <w:lang w:eastAsia="en-CA"/>
              </w:rPr>
              <w:t>0.37</w:t>
            </w:r>
          </w:p>
        </w:tc>
        <w:tc>
          <w:tcPr>
            <w:tcW w:w="1246" w:type="dxa"/>
            <w:tcBorders>
              <w:bottom w:val="single" w:sz="4" w:space="0" w:color="auto"/>
            </w:tcBorders>
            <w:vAlign w:val="center"/>
          </w:tcPr>
          <w:p w:rsidR="00C729F0" w:rsidRPr="00C729F0" w:rsidRDefault="00C729F0" w:rsidP="00697743">
            <w:pPr>
              <w:jc w:val="center"/>
              <w:rPr>
                <w:sz w:val="20"/>
                <w:lang w:eastAsia="en-CA"/>
              </w:rPr>
            </w:pPr>
            <w:r w:rsidRPr="00C729F0">
              <w:rPr>
                <w:sz w:val="20"/>
                <w:lang w:eastAsia="en-CA"/>
              </w:rPr>
              <w:t>0.32</w:t>
            </w:r>
          </w:p>
        </w:tc>
      </w:tr>
    </w:tbl>
    <w:p w:rsidR="00BA7929" w:rsidRPr="00697743" w:rsidRDefault="00697743" w:rsidP="00697743">
      <w:pPr>
        <w:jc w:val="right"/>
        <w:rPr>
          <w:sz w:val="20"/>
        </w:rPr>
      </w:pPr>
      <w:r w:rsidRPr="00697743">
        <w:rPr>
          <w:sz w:val="20"/>
        </w:rPr>
        <w:t>(continued)</w:t>
      </w:r>
    </w:p>
    <w:p w:rsidR="00697743" w:rsidRDefault="00697743">
      <w:r>
        <w:br w:type="page"/>
      </w:r>
    </w:p>
    <w:p w:rsidR="00BA7929" w:rsidRPr="00706893" w:rsidRDefault="00BA7929" w:rsidP="00F76ACC"/>
    <w:tbl>
      <w:tblPr>
        <w:tblW w:w="9812" w:type="dxa"/>
        <w:tblInd w:w="93" w:type="dxa"/>
        <w:tblLayout w:type="fixed"/>
        <w:tblLook w:val="00A0" w:firstRow="1" w:lastRow="0" w:firstColumn="1" w:lastColumn="0" w:noHBand="0" w:noVBand="0"/>
      </w:tblPr>
      <w:tblGrid>
        <w:gridCol w:w="299"/>
        <w:gridCol w:w="3260"/>
        <w:gridCol w:w="1134"/>
        <w:gridCol w:w="992"/>
        <w:gridCol w:w="993"/>
        <w:gridCol w:w="992"/>
        <w:gridCol w:w="1134"/>
        <w:gridCol w:w="1008"/>
      </w:tblGrid>
      <w:tr w:rsidR="00C729F0" w:rsidRPr="00C729F0" w:rsidTr="00697743">
        <w:trPr>
          <w:trHeight w:val="291"/>
        </w:trPr>
        <w:tc>
          <w:tcPr>
            <w:tcW w:w="9812" w:type="dxa"/>
            <w:gridSpan w:val="8"/>
            <w:tcBorders>
              <w:top w:val="single" w:sz="4" w:space="0" w:color="auto"/>
              <w:bottom w:val="single" w:sz="4" w:space="0" w:color="auto"/>
            </w:tcBorders>
            <w:noWrap/>
            <w:vAlign w:val="center"/>
          </w:tcPr>
          <w:p w:rsidR="00C729F0" w:rsidRPr="00C729F0" w:rsidRDefault="00C729F0" w:rsidP="00C729F0">
            <w:pPr>
              <w:jc w:val="center"/>
              <w:rPr>
                <w:sz w:val="20"/>
                <w:lang w:eastAsia="en-CA"/>
              </w:rPr>
            </w:pPr>
            <w:r w:rsidRPr="00C729F0">
              <w:rPr>
                <w:sz w:val="20"/>
                <w:lang w:eastAsia="en-CA"/>
              </w:rPr>
              <w:t>Panel B: Factor Return Accuracy</w:t>
            </w:r>
          </w:p>
        </w:tc>
      </w:tr>
      <w:tr w:rsidR="00BA7929" w:rsidRPr="00C729F0" w:rsidTr="00697743">
        <w:trPr>
          <w:trHeight w:val="270"/>
        </w:trPr>
        <w:tc>
          <w:tcPr>
            <w:tcW w:w="3559" w:type="dxa"/>
            <w:gridSpan w:val="2"/>
            <w:tcBorders>
              <w:top w:val="single" w:sz="4" w:space="0" w:color="auto"/>
            </w:tcBorders>
            <w:noWrap/>
            <w:vAlign w:val="bottom"/>
          </w:tcPr>
          <w:p w:rsidR="00BA7929" w:rsidRPr="00C729F0" w:rsidRDefault="00BA7929" w:rsidP="00F76ACC">
            <w:pPr>
              <w:rPr>
                <w:sz w:val="20"/>
                <w:lang w:eastAsia="en-CA"/>
              </w:rPr>
            </w:pPr>
          </w:p>
        </w:tc>
        <w:tc>
          <w:tcPr>
            <w:tcW w:w="6253" w:type="dxa"/>
            <w:gridSpan w:val="6"/>
            <w:tcBorders>
              <w:top w:val="single" w:sz="4" w:space="0" w:color="auto"/>
              <w:bottom w:val="single" w:sz="4" w:space="0" w:color="auto"/>
            </w:tcBorders>
            <w:noWrap/>
            <w:vAlign w:val="center"/>
          </w:tcPr>
          <w:p w:rsidR="00BA7929" w:rsidRPr="00C729F0" w:rsidRDefault="00697743" w:rsidP="00C729F0">
            <w:pPr>
              <w:jc w:val="center"/>
              <w:rPr>
                <w:sz w:val="20"/>
                <w:lang w:eastAsia="en-CA"/>
              </w:rPr>
            </w:pPr>
            <w:r>
              <w:rPr>
                <w:sz w:val="20"/>
                <w:lang w:eastAsia="en-CA"/>
              </w:rPr>
              <w:t>Correlation C</w:t>
            </w:r>
            <w:r w:rsidR="00BA7929" w:rsidRPr="00C729F0">
              <w:rPr>
                <w:sz w:val="20"/>
                <w:lang w:eastAsia="en-CA"/>
              </w:rPr>
              <w:t>oefficients</w:t>
            </w:r>
          </w:p>
        </w:tc>
      </w:tr>
      <w:tr w:rsidR="00BA7929" w:rsidRPr="00C729F0" w:rsidTr="00697743">
        <w:trPr>
          <w:trHeight w:val="296"/>
        </w:trPr>
        <w:tc>
          <w:tcPr>
            <w:tcW w:w="3559" w:type="dxa"/>
            <w:gridSpan w:val="2"/>
            <w:tcBorders>
              <w:bottom w:val="single" w:sz="4" w:space="0" w:color="auto"/>
            </w:tcBorders>
            <w:noWrap/>
            <w:vAlign w:val="bottom"/>
          </w:tcPr>
          <w:p w:rsidR="00BA7929" w:rsidRPr="00C729F0" w:rsidRDefault="00697743" w:rsidP="00F76ACC">
            <w:pPr>
              <w:rPr>
                <w:sz w:val="20"/>
                <w:lang w:eastAsia="en-CA"/>
              </w:rPr>
            </w:pPr>
            <w:r w:rsidRPr="00C729F0">
              <w:rPr>
                <w:sz w:val="20"/>
                <w:lang w:eastAsia="en-CA"/>
              </w:rPr>
              <w:t>Model</w:t>
            </w:r>
          </w:p>
        </w:tc>
        <w:tc>
          <w:tcPr>
            <w:tcW w:w="1134" w:type="dxa"/>
            <w:tcBorders>
              <w:bottom w:val="single" w:sz="4" w:space="0" w:color="auto"/>
            </w:tcBorders>
            <w:noWrap/>
            <w:vAlign w:val="center"/>
          </w:tcPr>
          <w:p w:rsidR="00BA7929" w:rsidRPr="00697743" w:rsidRDefault="00BA7929" w:rsidP="0037443D">
            <w:pPr>
              <w:jc w:val="center"/>
              <w:rPr>
                <w:sz w:val="20"/>
                <w:lang w:eastAsia="en-CA"/>
              </w:rPr>
            </w:pPr>
            <w:r w:rsidRPr="00697743">
              <w:rPr>
                <w:sz w:val="20"/>
                <w:lang w:eastAsia="en-CA"/>
              </w:rPr>
              <w:t>ExMkt</w:t>
            </w:r>
          </w:p>
        </w:tc>
        <w:tc>
          <w:tcPr>
            <w:tcW w:w="992" w:type="dxa"/>
            <w:tcBorders>
              <w:bottom w:val="single" w:sz="4" w:space="0" w:color="auto"/>
            </w:tcBorders>
            <w:noWrap/>
            <w:vAlign w:val="center"/>
          </w:tcPr>
          <w:p w:rsidR="00BA7929" w:rsidRPr="00697743" w:rsidRDefault="00BA7929" w:rsidP="0037443D">
            <w:pPr>
              <w:jc w:val="center"/>
              <w:rPr>
                <w:sz w:val="20"/>
                <w:lang w:eastAsia="en-CA"/>
              </w:rPr>
            </w:pPr>
            <w:r w:rsidRPr="00697743">
              <w:rPr>
                <w:sz w:val="20"/>
                <w:lang w:eastAsia="en-CA"/>
              </w:rPr>
              <w:t>HML</w:t>
            </w:r>
          </w:p>
        </w:tc>
        <w:tc>
          <w:tcPr>
            <w:tcW w:w="993" w:type="dxa"/>
            <w:tcBorders>
              <w:bottom w:val="single" w:sz="4" w:space="0" w:color="auto"/>
            </w:tcBorders>
            <w:noWrap/>
            <w:vAlign w:val="center"/>
          </w:tcPr>
          <w:p w:rsidR="00BA7929" w:rsidRPr="00697743" w:rsidRDefault="00BA7929" w:rsidP="0037443D">
            <w:pPr>
              <w:jc w:val="center"/>
              <w:rPr>
                <w:sz w:val="20"/>
                <w:lang w:eastAsia="en-CA"/>
              </w:rPr>
            </w:pPr>
            <w:r w:rsidRPr="00697743">
              <w:rPr>
                <w:sz w:val="20"/>
                <w:lang w:eastAsia="en-CA"/>
              </w:rPr>
              <w:t>SMB</w:t>
            </w:r>
          </w:p>
        </w:tc>
        <w:tc>
          <w:tcPr>
            <w:tcW w:w="992" w:type="dxa"/>
            <w:tcBorders>
              <w:bottom w:val="single" w:sz="4" w:space="0" w:color="auto"/>
            </w:tcBorders>
            <w:noWrap/>
            <w:vAlign w:val="center"/>
          </w:tcPr>
          <w:p w:rsidR="00BA7929" w:rsidRPr="00697743" w:rsidRDefault="00BA7929" w:rsidP="0037443D">
            <w:pPr>
              <w:jc w:val="center"/>
              <w:rPr>
                <w:sz w:val="20"/>
                <w:lang w:eastAsia="en-CA"/>
              </w:rPr>
            </w:pPr>
            <w:r w:rsidRPr="00697743">
              <w:rPr>
                <w:sz w:val="20"/>
                <w:lang w:eastAsia="en-CA"/>
              </w:rPr>
              <w:t>MOM</w:t>
            </w:r>
          </w:p>
        </w:tc>
        <w:tc>
          <w:tcPr>
            <w:tcW w:w="1134" w:type="dxa"/>
            <w:tcBorders>
              <w:bottom w:val="single" w:sz="4" w:space="0" w:color="auto"/>
            </w:tcBorders>
            <w:noWrap/>
            <w:vAlign w:val="center"/>
          </w:tcPr>
          <w:p w:rsidR="00BA7929" w:rsidRPr="00697743" w:rsidRDefault="00BA7929" w:rsidP="0037443D">
            <w:pPr>
              <w:jc w:val="center"/>
              <w:rPr>
                <w:sz w:val="20"/>
                <w:lang w:eastAsia="en-CA"/>
              </w:rPr>
            </w:pPr>
            <w:r w:rsidRPr="00697743">
              <w:rPr>
                <w:sz w:val="20"/>
                <w:lang w:eastAsia="en-CA"/>
              </w:rPr>
              <w:t>BAN</w:t>
            </w:r>
          </w:p>
        </w:tc>
        <w:tc>
          <w:tcPr>
            <w:tcW w:w="1008" w:type="dxa"/>
            <w:tcBorders>
              <w:bottom w:val="single" w:sz="4" w:space="0" w:color="auto"/>
            </w:tcBorders>
            <w:vAlign w:val="center"/>
          </w:tcPr>
          <w:p w:rsidR="00BA7929" w:rsidRPr="00697743" w:rsidRDefault="00BA7929" w:rsidP="0037443D">
            <w:pPr>
              <w:jc w:val="center"/>
              <w:rPr>
                <w:sz w:val="20"/>
                <w:lang w:eastAsia="en-CA"/>
              </w:rPr>
            </w:pPr>
            <w:r w:rsidRPr="00697743">
              <w:rPr>
                <w:sz w:val="20"/>
                <w:lang w:eastAsia="en-CA"/>
              </w:rPr>
              <w:t>TARP</w:t>
            </w:r>
          </w:p>
        </w:tc>
      </w:tr>
      <w:tr w:rsidR="00BA7929" w:rsidRPr="00C729F0" w:rsidTr="00697743">
        <w:trPr>
          <w:trHeight w:val="296"/>
        </w:trPr>
        <w:tc>
          <w:tcPr>
            <w:tcW w:w="3559" w:type="dxa"/>
            <w:gridSpan w:val="2"/>
            <w:tcBorders>
              <w:top w:val="single" w:sz="4" w:space="0" w:color="auto"/>
            </w:tcBorders>
            <w:noWrap/>
            <w:vAlign w:val="center"/>
          </w:tcPr>
          <w:p w:rsidR="00BA7929" w:rsidRPr="00697743" w:rsidRDefault="00BA7929" w:rsidP="00697743">
            <w:pPr>
              <w:rPr>
                <w:i/>
                <w:sz w:val="20"/>
                <w:lang w:eastAsia="en-CA"/>
              </w:rPr>
            </w:pPr>
            <w:r w:rsidRPr="00697743">
              <w:rPr>
                <w:i/>
                <w:sz w:val="20"/>
                <w:lang w:eastAsia="en-CA"/>
              </w:rPr>
              <w:t>Pre Period (N=254)</w:t>
            </w:r>
          </w:p>
        </w:tc>
        <w:tc>
          <w:tcPr>
            <w:tcW w:w="1134" w:type="dxa"/>
            <w:tcBorders>
              <w:top w:val="single" w:sz="4" w:space="0" w:color="auto"/>
            </w:tcBorders>
            <w:noWrap/>
            <w:vAlign w:val="center"/>
          </w:tcPr>
          <w:p w:rsidR="00BA7929" w:rsidRPr="00C729F0" w:rsidRDefault="00BA7929" w:rsidP="00697743">
            <w:pPr>
              <w:jc w:val="center"/>
              <w:rPr>
                <w:sz w:val="20"/>
                <w:lang w:eastAsia="en-CA"/>
              </w:rPr>
            </w:pPr>
          </w:p>
        </w:tc>
        <w:tc>
          <w:tcPr>
            <w:tcW w:w="992" w:type="dxa"/>
            <w:tcBorders>
              <w:top w:val="single" w:sz="4" w:space="0" w:color="auto"/>
            </w:tcBorders>
            <w:noWrap/>
            <w:vAlign w:val="center"/>
          </w:tcPr>
          <w:p w:rsidR="00BA7929" w:rsidRPr="00C729F0" w:rsidRDefault="00BA7929" w:rsidP="00697743">
            <w:pPr>
              <w:jc w:val="center"/>
              <w:rPr>
                <w:sz w:val="20"/>
                <w:lang w:eastAsia="en-CA"/>
              </w:rPr>
            </w:pPr>
          </w:p>
        </w:tc>
        <w:tc>
          <w:tcPr>
            <w:tcW w:w="993" w:type="dxa"/>
            <w:tcBorders>
              <w:top w:val="single" w:sz="4" w:space="0" w:color="auto"/>
            </w:tcBorders>
            <w:noWrap/>
            <w:vAlign w:val="center"/>
          </w:tcPr>
          <w:p w:rsidR="00BA7929" w:rsidRPr="00C729F0" w:rsidRDefault="00BA7929" w:rsidP="00697743">
            <w:pPr>
              <w:jc w:val="center"/>
              <w:rPr>
                <w:sz w:val="20"/>
                <w:lang w:eastAsia="en-CA"/>
              </w:rPr>
            </w:pPr>
          </w:p>
        </w:tc>
        <w:tc>
          <w:tcPr>
            <w:tcW w:w="992" w:type="dxa"/>
            <w:tcBorders>
              <w:top w:val="single" w:sz="4" w:space="0" w:color="auto"/>
            </w:tcBorders>
            <w:noWrap/>
            <w:vAlign w:val="center"/>
          </w:tcPr>
          <w:p w:rsidR="00BA7929" w:rsidRPr="00C729F0" w:rsidRDefault="00BA7929" w:rsidP="00697743">
            <w:pPr>
              <w:jc w:val="center"/>
              <w:rPr>
                <w:sz w:val="20"/>
                <w:lang w:eastAsia="en-CA"/>
              </w:rPr>
            </w:pPr>
          </w:p>
        </w:tc>
        <w:tc>
          <w:tcPr>
            <w:tcW w:w="1134" w:type="dxa"/>
            <w:tcBorders>
              <w:top w:val="single" w:sz="4" w:space="0" w:color="auto"/>
            </w:tcBorders>
            <w:noWrap/>
            <w:vAlign w:val="center"/>
          </w:tcPr>
          <w:p w:rsidR="00BA7929" w:rsidRPr="00C729F0" w:rsidRDefault="00BA7929" w:rsidP="00697743">
            <w:pPr>
              <w:jc w:val="center"/>
              <w:rPr>
                <w:sz w:val="20"/>
                <w:lang w:eastAsia="en-CA"/>
              </w:rPr>
            </w:pPr>
          </w:p>
        </w:tc>
        <w:tc>
          <w:tcPr>
            <w:tcW w:w="1008" w:type="dxa"/>
            <w:tcBorders>
              <w:top w:val="single" w:sz="4" w:space="0" w:color="auto"/>
            </w:tcBorders>
            <w:vAlign w:val="center"/>
          </w:tcPr>
          <w:p w:rsidR="00BA7929" w:rsidRPr="00C729F0" w:rsidRDefault="00BA7929" w:rsidP="00697743">
            <w:pPr>
              <w:jc w:val="center"/>
              <w:rPr>
                <w:sz w:val="20"/>
                <w:lang w:eastAsia="en-CA"/>
              </w:rPr>
            </w:pPr>
          </w:p>
        </w:tc>
      </w:tr>
      <w:tr w:rsidR="00BA7929" w:rsidRPr="00C729F0" w:rsidTr="00697743">
        <w:trPr>
          <w:trHeight w:val="584"/>
        </w:trPr>
        <w:tc>
          <w:tcPr>
            <w:tcW w:w="3559" w:type="dxa"/>
            <w:gridSpan w:val="2"/>
            <w:noWrap/>
            <w:vAlign w:val="center"/>
          </w:tcPr>
          <w:p w:rsidR="00BA7929" w:rsidRPr="00C729F0" w:rsidRDefault="00BA7929" w:rsidP="00697743">
            <w:pPr>
              <w:ind w:left="191"/>
              <w:rPr>
                <w:sz w:val="20"/>
                <w:lang w:eastAsia="en-CA"/>
              </w:rPr>
            </w:pPr>
            <w:r w:rsidRPr="00C729F0">
              <w:rPr>
                <w:sz w:val="20"/>
                <w:lang w:eastAsia="en-CA"/>
              </w:rPr>
              <w:t>3 Return Factor Model</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0.9716</w:t>
            </w:r>
          </w:p>
        </w:tc>
        <w:tc>
          <w:tcPr>
            <w:tcW w:w="992" w:type="dxa"/>
            <w:noWrap/>
            <w:vAlign w:val="center"/>
          </w:tcPr>
          <w:p w:rsidR="00BA7929" w:rsidRPr="00C729F0" w:rsidRDefault="00BA7929" w:rsidP="00697743">
            <w:pPr>
              <w:jc w:val="center"/>
              <w:rPr>
                <w:sz w:val="20"/>
                <w:lang w:eastAsia="en-CA"/>
              </w:rPr>
            </w:pPr>
          </w:p>
        </w:tc>
        <w:tc>
          <w:tcPr>
            <w:tcW w:w="993" w:type="dxa"/>
            <w:noWrap/>
            <w:vAlign w:val="center"/>
          </w:tcPr>
          <w:p w:rsidR="00BA7929" w:rsidRPr="00C729F0" w:rsidRDefault="00BA7929" w:rsidP="00697743">
            <w:pPr>
              <w:jc w:val="center"/>
              <w:rPr>
                <w:sz w:val="20"/>
                <w:lang w:eastAsia="en-CA"/>
              </w:rPr>
            </w:pPr>
          </w:p>
        </w:tc>
        <w:tc>
          <w:tcPr>
            <w:tcW w:w="992" w:type="dxa"/>
            <w:noWrap/>
            <w:vAlign w:val="center"/>
          </w:tcPr>
          <w:p w:rsidR="00BA7929" w:rsidRPr="00C729F0" w:rsidRDefault="00BA7929" w:rsidP="00697743">
            <w:pPr>
              <w:jc w:val="center"/>
              <w:rPr>
                <w:sz w:val="20"/>
                <w:lang w:eastAsia="en-CA"/>
              </w:rPr>
            </w:pPr>
          </w:p>
        </w:tc>
        <w:tc>
          <w:tcPr>
            <w:tcW w:w="1134" w:type="dxa"/>
            <w:noWrap/>
            <w:vAlign w:val="center"/>
          </w:tcPr>
          <w:p w:rsidR="00BA7929" w:rsidRPr="00C729F0" w:rsidRDefault="00BA7929" w:rsidP="00697743">
            <w:pPr>
              <w:jc w:val="center"/>
              <w:rPr>
                <w:sz w:val="20"/>
                <w:lang w:eastAsia="en-CA"/>
              </w:rPr>
            </w:pPr>
            <w:r w:rsidRPr="00C729F0">
              <w:rPr>
                <w:sz w:val="20"/>
                <w:lang w:eastAsia="en-CA"/>
              </w:rPr>
              <w:t>0.9255</w:t>
            </w:r>
          </w:p>
        </w:tc>
        <w:tc>
          <w:tcPr>
            <w:tcW w:w="1008" w:type="dxa"/>
            <w:vAlign w:val="center"/>
          </w:tcPr>
          <w:p w:rsidR="00BA7929" w:rsidRPr="00C729F0" w:rsidRDefault="00BA7929" w:rsidP="00697743">
            <w:pPr>
              <w:jc w:val="center"/>
              <w:rPr>
                <w:sz w:val="20"/>
                <w:lang w:eastAsia="en-CA"/>
              </w:rPr>
            </w:pPr>
            <w:r w:rsidRPr="00C729F0">
              <w:rPr>
                <w:sz w:val="20"/>
                <w:lang w:eastAsia="en-CA"/>
              </w:rPr>
              <w:t>0.9075</w:t>
            </w:r>
          </w:p>
        </w:tc>
      </w:tr>
      <w:tr w:rsidR="00BA7929" w:rsidRPr="00C729F0" w:rsidTr="00697743">
        <w:trPr>
          <w:trHeight w:val="562"/>
        </w:trPr>
        <w:tc>
          <w:tcPr>
            <w:tcW w:w="3559" w:type="dxa"/>
            <w:gridSpan w:val="2"/>
            <w:noWrap/>
            <w:vAlign w:val="center"/>
          </w:tcPr>
          <w:p w:rsidR="00BA7929" w:rsidRPr="00C729F0" w:rsidRDefault="00BA7929" w:rsidP="00697743">
            <w:pPr>
              <w:ind w:left="191"/>
              <w:rPr>
                <w:sz w:val="20"/>
                <w:lang w:eastAsia="en-CA"/>
              </w:rPr>
            </w:pPr>
            <w:r w:rsidRPr="00C729F0">
              <w:rPr>
                <w:sz w:val="20"/>
                <w:lang w:eastAsia="en-CA"/>
              </w:rPr>
              <w:t>3 Return Factor Model with 3 Stock Characteristic Factors</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0.9738</w:t>
            </w:r>
          </w:p>
        </w:tc>
        <w:tc>
          <w:tcPr>
            <w:tcW w:w="992" w:type="dxa"/>
            <w:noWrap/>
            <w:vAlign w:val="center"/>
          </w:tcPr>
          <w:p w:rsidR="00BA7929" w:rsidRPr="00C729F0" w:rsidRDefault="00BA7929" w:rsidP="00697743">
            <w:pPr>
              <w:jc w:val="center"/>
              <w:rPr>
                <w:sz w:val="20"/>
                <w:lang w:eastAsia="en-CA"/>
              </w:rPr>
            </w:pPr>
          </w:p>
        </w:tc>
        <w:tc>
          <w:tcPr>
            <w:tcW w:w="993" w:type="dxa"/>
            <w:noWrap/>
            <w:vAlign w:val="center"/>
          </w:tcPr>
          <w:p w:rsidR="00BA7929" w:rsidRPr="00C729F0" w:rsidRDefault="00BA7929" w:rsidP="00697743">
            <w:pPr>
              <w:jc w:val="center"/>
              <w:rPr>
                <w:sz w:val="20"/>
                <w:lang w:eastAsia="en-CA"/>
              </w:rPr>
            </w:pPr>
          </w:p>
        </w:tc>
        <w:tc>
          <w:tcPr>
            <w:tcW w:w="992" w:type="dxa"/>
            <w:noWrap/>
            <w:vAlign w:val="center"/>
          </w:tcPr>
          <w:p w:rsidR="00BA7929" w:rsidRPr="00C729F0" w:rsidRDefault="00BA7929" w:rsidP="00697743">
            <w:pPr>
              <w:jc w:val="center"/>
              <w:rPr>
                <w:sz w:val="20"/>
                <w:lang w:eastAsia="en-CA"/>
              </w:rPr>
            </w:pPr>
          </w:p>
        </w:tc>
        <w:tc>
          <w:tcPr>
            <w:tcW w:w="1134" w:type="dxa"/>
            <w:noWrap/>
            <w:vAlign w:val="center"/>
          </w:tcPr>
          <w:p w:rsidR="00BA7929" w:rsidRPr="00C729F0" w:rsidRDefault="00BA7929" w:rsidP="00697743">
            <w:pPr>
              <w:jc w:val="center"/>
              <w:rPr>
                <w:sz w:val="20"/>
                <w:lang w:eastAsia="en-CA"/>
              </w:rPr>
            </w:pPr>
            <w:r w:rsidRPr="00C729F0">
              <w:rPr>
                <w:sz w:val="20"/>
                <w:lang w:eastAsia="en-CA"/>
              </w:rPr>
              <w:t>0.9247</w:t>
            </w:r>
          </w:p>
        </w:tc>
        <w:tc>
          <w:tcPr>
            <w:tcW w:w="1008" w:type="dxa"/>
            <w:vAlign w:val="center"/>
          </w:tcPr>
          <w:p w:rsidR="00BA7929" w:rsidRPr="00C729F0" w:rsidRDefault="00BA7929" w:rsidP="00697743">
            <w:pPr>
              <w:jc w:val="center"/>
              <w:rPr>
                <w:sz w:val="20"/>
                <w:lang w:eastAsia="en-CA"/>
              </w:rPr>
            </w:pPr>
            <w:r w:rsidRPr="00C729F0">
              <w:rPr>
                <w:sz w:val="20"/>
                <w:lang w:eastAsia="en-CA"/>
              </w:rPr>
              <w:t>0.9038</w:t>
            </w:r>
          </w:p>
        </w:tc>
      </w:tr>
      <w:tr w:rsidR="00BA7929" w:rsidRPr="00C729F0" w:rsidTr="00697743">
        <w:trPr>
          <w:trHeight w:val="558"/>
        </w:trPr>
        <w:tc>
          <w:tcPr>
            <w:tcW w:w="3559" w:type="dxa"/>
            <w:gridSpan w:val="2"/>
            <w:noWrap/>
            <w:vAlign w:val="center"/>
          </w:tcPr>
          <w:p w:rsidR="00BA7929" w:rsidRPr="00C729F0" w:rsidRDefault="00BA7929" w:rsidP="00697743">
            <w:pPr>
              <w:ind w:left="191"/>
              <w:rPr>
                <w:sz w:val="20"/>
                <w:lang w:eastAsia="en-CA"/>
              </w:rPr>
            </w:pPr>
            <w:r w:rsidRPr="00C729F0">
              <w:rPr>
                <w:sz w:val="20"/>
                <w:lang w:eastAsia="en-CA"/>
              </w:rPr>
              <w:t>6 Return Factor Model</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0.9789</w:t>
            </w:r>
          </w:p>
        </w:tc>
        <w:tc>
          <w:tcPr>
            <w:tcW w:w="992" w:type="dxa"/>
            <w:noWrap/>
            <w:vAlign w:val="center"/>
          </w:tcPr>
          <w:p w:rsidR="00BA7929" w:rsidRPr="00C729F0" w:rsidRDefault="00BA7929" w:rsidP="00697743">
            <w:pPr>
              <w:jc w:val="center"/>
              <w:rPr>
                <w:sz w:val="20"/>
                <w:lang w:eastAsia="en-CA"/>
              </w:rPr>
            </w:pPr>
            <w:r w:rsidRPr="00C729F0">
              <w:rPr>
                <w:sz w:val="20"/>
                <w:lang w:eastAsia="en-CA"/>
              </w:rPr>
              <w:t>0.9164</w:t>
            </w:r>
          </w:p>
        </w:tc>
        <w:tc>
          <w:tcPr>
            <w:tcW w:w="993" w:type="dxa"/>
            <w:noWrap/>
            <w:vAlign w:val="center"/>
          </w:tcPr>
          <w:p w:rsidR="00BA7929" w:rsidRPr="00C729F0" w:rsidRDefault="00BA7929" w:rsidP="00697743">
            <w:pPr>
              <w:jc w:val="center"/>
              <w:rPr>
                <w:sz w:val="20"/>
                <w:lang w:eastAsia="en-CA"/>
              </w:rPr>
            </w:pPr>
            <w:r w:rsidRPr="00C729F0">
              <w:rPr>
                <w:sz w:val="20"/>
                <w:lang w:eastAsia="en-CA"/>
              </w:rPr>
              <w:t>0.9013</w:t>
            </w:r>
          </w:p>
        </w:tc>
        <w:tc>
          <w:tcPr>
            <w:tcW w:w="992" w:type="dxa"/>
            <w:noWrap/>
            <w:vAlign w:val="center"/>
          </w:tcPr>
          <w:p w:rsidR="00BA7929" w:rsidRPr="00C729F0" w:rsidRDefault="00BA7929" w:rsidP="00697743">
            <w:pPr>
              <w:jc w:val="center"/>
              <w:rPr>
                <w:sz w:val="20"/>
                <w:lang w:eastAsia="en-CA"/>
              </w:rPr>
            </w:pPr>
            <w:r w:rsidRPr="00C729F0">
              <w:rPr>
                <w:sz w:val="20"/>
                <w:lang w:eastAsia="en-CA"/>
              </w:rPr>
              <w:t>0.9519</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0.9773</w:t>
            </w:r>
          </w:p>
        </w:tc>
        <w:tc>
          <w:tcPr>
            <w:tcW w:w="1008" w:type="dxa"/>
            <w:vAlign w:val="center"/>
          </w:tcPr>
          <w:p w:rsidR="00BA7929" w:rsidRPr="00C729F0" w:rsidRDefault="00BA7929" w:rsidP="00697743">
            <w:pPr>
              <w:jc w:val="center"/>
              <w:rPr>
                <w:sz w:val="20"/>
                <w:lang w:eastAsia="en-CA"/>
              </w:rPr>
            </w:pPr>
            <w:r w:rsidRPr="00C729F0">
              <w:rPr>
                <w:sz w:val="20"/>
                <w:lang w:eastAsia="en-CA"/>
              </w:rPr>
              <w:t>0.9688</w:t>
            </w:r>
          </w:p>
        </w:tc>
      </w:tr>
      <w:tr w:rsidR="00BA7929" w:rsidRPr="00C729F0" w:rsidTr="00697743">
        <w:trPr>
          <w:trHeight w:val="774"/>
        </w:trPr>
        <w:tc>
          <w:tcPr>
            <w:tcW w:w="3559" w:type="dxa"/>
            <w:gridSpan w:val="2"/>
            <w:noWrap/>
            <w:vAlign w:val="center"/>
          </w:tcPr>
          <w:p w:rsidR="00BA7929" w:rsidRPr="00C729F0" w:rsidRDefault="00BA7929" w:rsidP="00697743">
            <w:pPr>
              <w:ind w:left="191"/>
              <w:rPr>
                <w:sz w:val="20"/>
                <w:lang w:eastAsia="en-CA"/>
              </w:rPr>
            </w:pPr>
            <w:r w:rsidRPr="00C729F0">
              <w:rPr>
                <w:sz w:val="20"/>
                <w:lang w:eastAsia="en-CA"/>
              </w:rPr>
              <w:t>6 Return Factor Model with 3 Stock Characteristic Factors</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0.9819</w:t>
            </w:r>
          </w:p>
        </w:tc>
        <w:tc>
          <w:tcPr>
            <w:tcW w:w="992" w:type="dxa"/>
            <w:noWrap/>
            <w:vAlign w:val="center"/>
          </w:tcPr>
          <w:p w:rsidR="00BA7929" w:rsidRPr="00C729F0" w:rsidRDefault="00BA7929" w:rsidP="00697743">
            <w:pPr>
              <w:jc w:val="center"/>
              <w:rPr>
                <w:sz w:val="20"/>
                <w:lang w:eastAsia="en-CA"/>
              </w:rPr>
            </w:pPr>
            <w:r w:rsidRPr="00C729F0">
              <w:rPr>
                <w:sz w:val="20"/>
                <w:lang w:eastAsia="en-CA"/>
              </w:rPr>
              <w:t>0.9171</w:t>
            </w:r>
          </w:p>
        </w:tc>
        <w:tc>
          <w:tcPr>
            <w:tcW w:w="993" w:type="dxa"/>
            <w:noWrap/>
            <w:vAlign w:val="center"/>
          </w:tcPr>
          <w:p w:rsidR="00BA7929" w:rsidRPr="00C729F0" w:rsidRDefault="00BA7929" w:rsidP="00697743">
            <w:pPr>
              <w:jc w:val="center"/>
              <w:rPr>
                <w:sz w:val="20"/>
                <w:lang w:eastAsia="en-CA"/>
              </w:rPr>
            </w:pPr>
            <w:r w:rsidRPr="00C729F0">
              <w:rPr>
                <w:sz w:val="20"/>
                <w:lang w:eastAsia="en-CA"/>
              </w:rPr>
              <w:t>0.8859</w:t>
            </w:r>
          </w:p>
        </w:tc>
        <w:tc>
          <w:tcPr>
            <w:tcW w:w="992" w:type="dxa"/>
            <w:noWrap/>
            <w:vAlign w:val="center"/>
          </w:tcPr>
          <w:p w:rsidR="00BA7929" w:rsidRPr="00C729F0" w:rsidRDefault="00BA7929" w:rsidP="00697743">
            <w:pPr>
              <w:jc w:val="center"/>
              <w:rPr>
                <w:sz w:val="20"/>
                <w:lang w:eastAsia="en-CA"/>
              </w:rPr>
            </w:pPr>
            <w:r w:rsidRPr="00C729F0">
              <w:rPr>
                <w:sz w:val="20"/>
                <w:lang w:eastAsia="en-CA"/>
              </w:rPr>
              <w:t>0.9502</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0.9778</w:t>
            </w:r>
          </w:p>
        </w:tc>
        <w:tc>
          <w:tcPr>
            <w:tcW w:w="1008" w:type="dxa"/>
            <w:vAlign w:val="center"/>
          </w:tcPr>
          <w:p w:rsidR="00BA7929" w:rsidRPr="00C729F0" w:rsidRDefault="00BA7929" w:rsidP="00697743">
            <w:pPr>
              <w:jc w:val="center"/>
              <w:rPr>
                <w:sz w:val="20"/>
                <w:lang w:eastAsia="en-CA"/>
              </w:rPr>
            </w:pPr>
            <w:r w:rsidRPr="00C729F0">
              <w:rPr>
                <w:sz w:val="20"/>
                <w:lang w:eastAsia="en-CA"/>
              </w:rPr>
              <w:t>0.9664</w:t>
            </w:r>
          </w:p>
        </w:tc>
      </w:tr>
      <w:tr w:rsidR="00BA7929" w:rsidRPr="00C729F0" w:rsidTr="00697743">
        <w:trPr>
          <w:trHeight w:val="296"/>
        </w:trPr>
        <w:tc>
          <w:tcPr>
            <w:tcW w:w="3559" w:type="dxa"/>
            <w:gridSpan w:val="2"/>
            <w:noWrap/>
            <w:vAlign w:val="center"/>
          </w:tcPr>
          <w:p w:rsidR="00BA7929" w:rsidRPr="00697743" w:rsidRDefault="00BA7929" w:rsidP="00697743">
            <w:pPr>
              <w:rPr>
                <w:i/>
                <w:sz w:val="20"/>
                <w:lang w:eastAsia="en-CA"/>
              </w:rPr>
            </w:pPr>
            <w:r w:rsidRPr="00697743">
              <w:rPr>
                <w:i/>
                <w:sz w:val="20"/>
                <w:lang w:eastAsia="en-CA"/>
              </w:rPr>
              <w:t>Post Period (N=58)</w:t>
            </w:r>
          </w:p>
        </w:tc>
        <w:tc>
          <w:tcPr>
            <w:tcW w:w="1134" w:type="dxa"/>
            <w:noWrap/>
            <w:vAlign w:val="center"/>
          </w:tcPr>
          <w:p w:rsidR="00BA7929" w:rsidRPr="00C729F0" w:rsidRDefault="00BA7929" w:rsidP="00697743">
            <w:pPr>
              <w:jc w:val="center"/>
              <w:rPr>
                <w:sz w:val="20"/>
                <w:lang w:eastAsia="en-CA"/>
              </w:rPr>
            </w:pPr>
          </w:p>
        </w:tc>
        <w:tc>
          <w:tcPr>
            <w:tcW w:w="992" w:type="dxa"/>
            <w:noWrap/>
            <w:vAlign w:val="center"/>
          </w:tcPr>
          <w:p w:rsidR="00BA7929" w:rsidRPr="00C729F0" w:rsidRDefault="00BA7929" w:rsidP="00697743">
            <w:pPr>
              <w:jc w:val="center"/>
              <w:rPr>
                <w:sz w:val="20"/>
                <w:lang w:eastAsia="en-CA"/>
              </w:rPr>
            </w:pPr>
          </w:p>
        </w:tc>
        <w:tc>
          <w:tcPr>
            <w:tcW w:w="993" w:type="dxa"/>
            <w:noWrap/>
            <w:vAlign w:val="center"/>
          </w:tcPr>
          <w:p w:rsidR="00BA7929" w:rsidRPr="00C729F0" w:rsidRDefault="00BA7929" w:rsidP="00697743">
            <w:pPr>
              <w:jc w:val="center"/>
              <w:rPr>
                <w:sz w:val="20"/>
                <w:lang w:eastAsia="en-CA"/>
              </w:rPr>
            </w:pPr>
          </w:p>
        </w:tc>
        <w:tc>
          <w:tcPr>
            <w:tcW w:w="992" w:type="dxa"/>
            <w:noWrap/>
            <w:vAlign w:val="center"/>
          </w:tcPr>
          <w:p w:rsidR="00BA7929" w:rsidRPr="00C729F0" w:rsidRDefault="00BA7929" w:rsidP="00697743">
            <w:pPr>
              <w:jc w:val="center"/>
              <w:rPr>
                <w:sz w:val="20"/>
                <w:lang w:eastAsia="en-CA"/>
              </w:rPr>
            </w:pPr>
          </w:p>
        </w:tc>
        <w:tc>
          <w:tcPr>
            <w:tcW w:w="1134" w:type="dxa"/>
            <w:noWrap/>
            <w:vAlign w:val="center"/>
          </w:tcPr>
          <w:p w:rsidR="00BA7929" w:rsidRPr="00C729F0" w:rsidRDefault="00BA7929" w:rsidP="00697743">
            <w:pPr>
              <w:jc w:val="center"/>
              <w:rPr>
                <w:sz w:val="20"/>
                <w:lang w:eastAsia="en-CA"/>
              </w:rPr>
            </w:pPr>
          </w:p>
        </w:tc>
        <w:tc>
          <w:tcPr>
            <w:tcW w:w="1008" w:type="dxa"/>
            <w:vAlign w:val="center"/>
          </w:tcPr>
          <w:p w:rsidR="00BA7929" w:rsidRPr="00C729F0" w:rsidRDefault="00BA7929" w:rsidP="00697743">
            <w:pPr>
              <w:jc w:val="center"/>
              <w:rPr>
                <w:sz w:val="20"/>
                <w:lang w:eastAsia="en-CA"/>
              </w:rPr>
            </w:pPr>
          </w:p>
        </w:tc>
      </w:tr>
      <w:tr w:rsidR="00697743" w:rsidRPr="00C729F0" w:rsidTr="00697743">
        <w:trPr>
          <w:gridBefore w:val="1"/>
          <w:wBefore w:w="299" w:type="dxa"/>
          <w:trHeight w:val="584"/>
        </w:trPr>
        <w:tc>
          <w:tcPr>
            <w:tcW w:w="3260" w:type="dxa"/>
            <w:noWrap/>
            <w:vAlign w:val="center"/>
          </w:tcPr>
          <w:p w:rsidR="00BA7929" w:rsidRPr="00C729F0" w:rsidRDefault="00BA7929" w:rsidP="00697743">
            <w:pPr>
              <w:ind w:left="-108"/>
              <w:rPr>
                <w:sz w:val="20"/>
                <w:lang w:eastAsia="en-CA"/>
              </w:rPr>
            </w:pPr>
            <w:r w:rsidRPr="00C729F0">
              <w:rPr>
                <w:sz w:val="20"/>
                <w:lang w:eastAsia="en-CA"/>
              </w:rPr>
              <w:t>3 Return Factor Model</w:t>
            </w:r>
          </w:p>
        </w:tc>
        <w:tc>
          <w:tcPr>
            <w:tcW w:w="1134" w:type="dxa"/>
            <w:noWrap/>
            <w:vAlign w:val="center"/>
          </w:tcPr>
          <w:p w:rsidR="00BA7929" w:rsidRPr="00C729F0" w:rsidRDefault="00BA7929" w:rsidP="00697743">
            <w:pPr>
              <w:jc w:val="center"/>
              <w:rPr>
                <w:sz w:val="20"/>
                <w:lang w:eastAsia="en-CA"/>
              </w:rPr>
            </w:pPr>
            <w:r w:rsidRPr="00C729F0">
              <w:rPr>
                <w:sz w:val="20"/>
                <w:lang w:eastAsia="en-CA"/>
              </w:rPr>
              <w:t>0.8970</w:t>
            </w:r>
          </w:p>
        </w:tc>
        <w:tc>
          <w:tcPr>
            <w:tcW w:w="992" w:type="dxa"/>
            <w:noWrap/>
            <w:vAlign w:val="center"/>
          </w:tcPr>
          <w:p w:rsidR="00BA7929" w:rsidRPr="00C729F0" w:rsidRDefault="00BA7929" w:rsidP="00697743">
            <w:pPr>
              <w:jc w:val="center"/>
              <w:rPr>
                <w:sz w:val="20"/>
                <w:lang w:eastAsia="en-CA"/>
              </w:rPr>
            </w:pPr>
          </w:p>
        </w:tc>
        <w:tc>
          <w:tcPr>
            <w:tcW w:w="993" w:type="dxa"/>
            <w:noWrap/>
            <w:vAlign w:val="center"/>
          </w:tcPr>
          <w:p w:rsidR="00BA7929" w:rsidRPr="00C729F0" w:rsidRDefault="00BA7929" w:rsidP="00697743">
            <w:pPr>
              <w:jc w:val="center"/>
              <w:rPr>
                <w:sz w:val="20"/>
                <w:lang w:eastAsia="en-CA"/>
              </w:rPr>
            </w:pPr>
          </w:p>
        </w:tc>
        <w:tc>
          <w:tcPr>
            <w:tcW w:w="992" w:type="dxa"/>
            <w:noWrap/>
            <w:vAlign w:val="center"/>
          </w:tcPr>
          <w:p w:rsidR="00BA7929" w:rsidRPr="00C729F0" w:rsidRDefault="00BA7929" w:rsidP="00697743">
            <w:pPr>
              <w:jc w:val="center"/>
              <w:rPr>
                <w:sz w:val="20"/>
                <w:lang w:eastAsia="en-CA"/>
              </w:rPr>
            </w:pPr>
          </w:p>
        </w:tc>
        <w:tc>
          <w:tcPr>
            <w:tcW w:w="1134" w:type="dxa"/>
            <w:noWrap/>
            <w:vAlign w:val="center"/>
          </w:tcPr>
          <w:p w:rsidR="00BA7929" w:rsidRPr="00C729F0" w:rsidRDefault="00BA7929" w:rsidP="00697743">
            <w:pPr>
              <w:jc w:val="center"/>
              <w:rPr>
                <w:sz w:val="20"/>
                <w:lang w:eastAsia="en-CA"/>
              </w:rPr>
            </w:pPr>
            <w:r w:rsidRPr="00C729F0">
              <w:rPr>
                <w:sz w:val="20"/>
                <w:lang w:eastAsia="en-CA"/>
              </w:rPr>
              <w:t>0.8434</w:t>
            </w:r>
          </w:p>
        </w:tc>
        <w:tc>
          <w:tcPr>
            <w:tcW w:w="1008" w:type="dxa"/>
            <w:vAlign w:val="center"/>
          </w:tcPr>
          <w:p w:rsidR="00BA7929" w:rsidRPr="00C729F0" w:rsidRDefault="00BA7929" w:rsidP="00697743">
            <w:pPr>
              <w:jc w:val="center"/>
              <w:rPr>
                <w:sz w:val="20"/>
                <w:lang w:eastAsia="en-CA"/>
              </w:rPr>
            </w:pPr>
            <w:r w:rsidRPr="00C729F0">
              <w:rPr>
                <w:sz w:val="20"/>
                <w:lang w:eastAsia="en-CA"/>
              </w:rPr>
              <w:t>0.7542</w:t>
            </w:r>
          </w:p>
        </w:tc>
      </w:tr>
      <w:tr w:rsidR="00697743" w:rsidRPr="00C729F0" w:rsidTr="00697743">
        <w:trPr>
          <w:gridBefore w:val="1"/>
          <w:wBefore w:w="299" w:type="dxa"/>
          <w:trHeight w:val="562"/>
        </w:trPr>
        <w:tc>
          <w:tcPr>
            <w:tcW w:w="3260" w:type="dxa"/>
            <w:noWrap/>
            <w:vAlign w:val="center"/>
          </w:tcPr>
          <w:p w:rsidR="00BA7929" w:rsidRPr="00C729F0" w:rsidRDefault="00BA7929" w:rsidP="00697743">
            <w:pPr>
              <w:ind w:left="-108"/>
              <w:rPr>
                <w:sz w:val="20"/>
                <w:lang w:eastAsia="en-CA"/>
              </w:rPr>
            </w:pPr>
            <w:r w:rsidRPr="00C729F0">
              <w:rPr>
                <w:sz w:val="20"/>
                <w:lang w:eastAsia="en-CA"/>
              </w:rPr>
              <w:t>3 Return Factor Model with 3 Stock Characteristic Factors</w:t>
            </w:r>
          </w:p>
        </w:tc>
        <w:tc>
          <w:tcPr>
            <w:tcW w:w="1134" w:type="dxa"/>
            <w:noWrap/>
            <w:vAlign w:val="center"/>
          </w:tcPr>
          <w:p w:rsidR="00BA7929" w:rsidRPr="00C729F0" w:rsidRDefault="00BA7929" w:rsidP="00697743">
            <w:pPr>
              <w:jc w:val="center"/>
              <w:rPr>
                <w:sz w:val="20"/>
                <w:lang w:eastAsia="en-CA"/>
              </w:rPr>
            </w:pPr>
            <w:r w:rsidRPr="00C729F0">
              <w:rPr>
                <w:sz w:val="20"/>
                <w:lang w:eastAsia="en-CA"/>
              </w:rPr>
              <w:t>0.8767</w:t>
            </w:r>
          </w:p>
        </w:tc>
        <w:tc>
          <w:tcPr>
            <w:tcW w:w="992" w:type="dxa"/>
            <w:noWrap/>
            <w:vAlign w:val="center"/>
          </w:tcPr>
          <w:p w:rsidR="00BA7929" w:rsidRPr="00C729F0" w:rsidRDefault="00BA7929" w:rsidP="00697743">
            <w:pPr>
              <w:jc w:val="center"/>
              <w:rPr>
                <w:sz w:val="20"/>
                <w:lang w:eastAsia="en-CA"/>
              </w:rPr>
            </w:pPr>
          </w:p>
        </w:tc>
        <w:tc>
          <w:tcPr>
            <w:tcW w:w="993" w:type="dxa"/>
            <w:noWrap/>
            <w:vAlign w:val="center"/>
          </w:tcPr>
          <w:p w:rsidR="00BA7929" w:rsidRPr="00C729F0" w:rsidRDefault="00BA7929" w:rsidP="00697743">
            <w:pPr>
              <w:jc w:val="center"/>
              <w:rPr>
                <w:sz w:val="20"/>
                <w:lang w:eastAsia="en-CA"/>
              </w:rPr>
            </w:pPr>
          </w:p>
        </w:tc>
        <w:tc>
          <w:tcPr>
            <w:tcW w:w="992" w:type="dxa"/>
            <w:noWrap/>
            <w:vAlign w:val="center"/>
          </w:tcPr>
          <w:p w:rsidR="00BA7929" w:rsidRPr="00C729F0" w:rsidRDefault="00BA7929" w:rsidP="00697743">
            <w:pPr>
              <w:jc w:val="center"/>
              <w:rPr>
                <w:sz w:val="20"/>
                <w:lang w:eastAsia="en-CA"/>
              </w:rPr>
            </w:pPr>
          </w:p>
        </w:tc>
        <w:tc>
          <w:tcPr>
            <w:tcW w:w="1134" w:type="dxa"/>
            <w:noWrap/>
            <w:vAlign w:val="center"/>
          </w:tcPr>
          <w:p w:rsidR="00BA7929" w:rsidRPr="00C729F0" w:rsidRDefault="00BA7929" w:rsidP="00697743">
            <w:pPr>
              <w:jc w:val="center"/>
              <w:rPr>
                <w:sz w:val="20"/>
                <w:lang w:eastAsia="en-CA"/>
              </w:rPr>
            </w:pPr>
            <w:r w:rsidRPr="00C729F0">
              <w:rPr>
                <w:sz w:val="20"/>
                <w:lang w:eastAsia="en-CA"/>
              </w:rPr>
              <w:t>0.8190</w:t>
            </w:r>
          </w:p>
        </w:tc>
        <w:tc>
          <w:tcPr>
            <w:tcW w:w="1008" w:type="dxa"/>
            <w:vAlign w:val="center"/>
          </w:tcPr>
          <w:p w:rsidR="00BA7929" w:rsidRPr="00C729F0" w:rsidRDefault="00BA7929" w:rsidP="00697743">
            <w:pPr>
              <w:jc w:val="center"/>
              <w:rPr>
                <w:sz w:val="20"/>
                <w:lang w:eastAsia="en-CA"/>
              </w:rPr>
            </w:pPr>
            <w:r w:rsidRPr="00C729F0">
              <w:rPr>
                <w:sz w:val="20"/>
                <w:lang w:eastAsia="en-CA"/>
              </w:rPr>
              <w:t>0.6948</w:t>
            </w:r>
          </w:p>
        </w:tc>
      </w:tr>
      <w:tr w:rsidR="00697743" w:rsidRPr="00C729F0" w:rsidTr="00697743">
        <w:trPr>
          <w:gridBefore w:val="1"/>
          <w:wBefore w:w="299" w:type="dxa"/>
          <w:trHeight w:val="558"/>
        </w:trPr>
        <w:tc>
          <w:tcPr>
            <w:tcW w:w="3260" w:type="dxa"/>
            <w:noWrap/>
            <w:vAlign w:val="center"/>
          </w:tcPr>
          <w:p w:rsidR="00BA7929" w:rsidRPr="00C729F0" w:rsidRDefault="00BA7929" w:rsidP="00697743">
            <w:pPr>
              <w:ind w:left="-108"/>
              <w:rPr>
                <w:sz w:val="20"/>
                <w:lang w:eastAsia="en-CA"/>
              </w:rPr>
            </w:pPr>
            <w:r w:rsidRPr="00C729F0">
              <w:rPr>
                <w:sz w:val="20"/>
                <w:lang w:eastAsia="en-CA"/>
              </w:rPr>
              <w:t>6 Return Factor Model</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0.9272</w:t>
            </w:r>
          </w:p>
        </w:tc>
        <w:tc>
          <w:tcPr>
            <w:tcW w:w="992" w:type="dxa"/>
            <w:noWrap/>
            <w:vAlign w:val="center"/>
          </w:tcPr>
          <w:p w:rsidR="00BA7929" w:rsidRPr="00C729F0" w:rsidRDefault="00BA7929" w:rsidP="00697743">
            <w:pPr>
              <w:jc w:val="center"/>
              <w:rPr>
                <w:sz w:val="20"/>
                <w:lang w:eastAsia="en-CA"/>
              </w:rPr>
            </w:pPr>
            <w:r w:rsidRPr="00C729F0">
              <w:rPr>
                <w:sz w:val="20"/>
                <w:lang w:eastAsia="en-CA"/>
              </w:rPr>
              <w:t>0.6314</w:t>
            </w:r>
          </w:p>
        </w:tc>
        <w:tc>
          <w:tcPr>
            <w:tcW w:w="993" w:type="dxa"/>
            <w:noWrap/>
            <w:vAlign w:val="center"/>
          </w:tcPr>
          <w:p w:rsidR="00BA7929" w:rsidRPr="00C729F0" w:rsidRDefault="00BA7929" w:rsidP="00697743">
            <w:pPr>
              <w:jc w:val="center"/>
              <w:rPr>
                <w:sz w:val="20"/>
                <w:lang w:eastAsia="en-CA"/>
              </w:rPr>
            </w:pPr>
            <w:r w:rsidRPr="00C729F0">
              <w:rPr>
                <w:sz w:val="20"/>
                <w:lang w:eastAsia="en-CA"/>
              </w:rPr>
              <w:t>0.8717</w:t>
            </w:r>
          </w:p>
        </w:tc>
        <w:tc>
          <w:tcPr>
            <w:tcW w:w="992" w:type="dxa"/>
            <w:noWrap/>
            <w:vAlign w:val="center"/>
          </w:tcPr>
          <w:p w:rsidR="00BA7929" w:rsidRPr="00C729F0" w:rsidRDefault="00BA7929" w:rsidP="00697743">
            <w:pPr>
              <w:jc w:val="center"/>
              <w:rPr>
                <w:sz w:val="20"/>
                <w:lang w:eastAsia="en-CA"/>
              </w:rPr>
            </w:pPr>
            <w:r w:rsidRPr="00C729F0">
              <w:rPr>
                <w:sz w:val="20"/>
                <w:lang w:eastAsia="en-CA"/>
              </w:rPr>
              <w:t>0.4903</w:t>
            </w:r>
          </w:p>
        </w:tc>
        <w:tc>
          <w:tcPr>
            <w:tcW w:w="1134" w:type="dxa"/>
            <w:noWrap/>
            <w:vAlign w:val="center"/>
          </w:tcPr>
          <w:p w:rsidR="00BA7929" w:rsidRPr="00C729F0" w:rsidRDefault="00BA7929" w:rsidP="00697743">
            <w:pPr>
              <w:jc w:val="center"/>
              <w:rPr>
                <w:sz w:val="20"/>
                <w:lang w:eastAsia="en-CA"/>
              </w:rPr>
            </w:pPr>
            <w:r w:rsidRPr="00C729F0">
              <w:rPr>
                <w:sz w:val="20"/>
                <w:lang w:eastAsia="en-CA"/>
              </w:rPr>
              <w:t>0.9139</w:t>
            </w:r>
          </w:p>
        </w:tc>
        <w:tc>
          <w:tcPr>
            <w:tcW w:w="1008" w:type="dxa"/>
            <w:vAlign w:val="center"/>
          </w:tcPr>
          <w:p w:rsidR="00BA7929" w:rsidRPr="00C729F0" w:rsidRDefault="00BA7929" w:rsidP="00697743">
            <w:pPr>
              <w:jc w:val="center"/>
              <w:rPr>
                <w:sz w:val="20"/>
                <w:lang w:eastAsia="en-CA"/>
              </w:rPr>
            </w:pPr>
            <w:r w:rsidRPr="00C729F0">
              <w:rPr>
                <w:sz w:val="20"/>
                <w:lang w:eastAsia="en-CA"/>
              </w:rPr>
              <w:t>0.8522</w:t>
            </w:r>
          </w:p>
        </w:tc>
      </w:tr>
      <w:tr w:rsidR="00697743" w:rsidRPr="00C729F0" w:rsidTr="00697743">
        <w:trPr>
          <w:trHeight w:val="694"/>
        </w:trPr>
        <w:tc>
          <w:tcPr>
            <w:tcW w:w="3559" w:type="dxa"/>
            <w:gridSpan w:val="2"/>
            <w:tcBorders>
              <w:bottom w:val="single" w:sz="4" w:space="0" w:color="auto"/>
            </w:tcBorders>
            <w:noWrap/>
            <w:vAlign w:val="center"/>
          </w:tcPr>
          <w:p w:rsidR="00BA7929" w:rsidRPr="00C729F0" w:rsidRDefault="00BA7929" w:rsidP="00697743">
            <w:pPr>
              <w:ind w:left="191"/>
              <w:rPr>
                <w:sz w:val="20"/>
                <w:lang w:eastAsia="en-CA"/>
              </w:rPr>
            </w:pPr>
            <w:r w:rsidRPr="00C729F0">
              <w:rPr>
                <w:sz w:val="20"/>
                <w:lang w:eastAsia="en-CA"/>
              </w:rPr>
              <w:t>6 Return Factor Model with 3 Stock Characteristic Factors</w:t>
            </w:r>
          </w:p>
        </w:tc>
        <w:tc>
          <w:tcPr>
            <w:tcW w:w="1134" w:type="dxa"/>
            <w:tcBorders>
              <w:bottom w:val="single" w:sz="4" w:space="0" w:color="auto"/>
            </w:tcBorders>
            <w:noWrap/>
            <w:vAlign w:val="center"/>
          </w:tcPr>
          <w:p w:rsidR="00BA7929" w:rsidRPr="00C729F0" w:rsidRDefault="00BA7929" w:rsidP="00697743">
            <w:pPr>
              <w:jc w:val="center"/>
              <w:rPr>
                <w:sz w:val="20"/>
                <w:lang w:eastAsia="en-CA"/>
              </w:rPr>
            </w:pPr>
            <w:r w:rsidRPr="00C729F0">
              <w:rPr>
                <w:sz w:val="20"/>
                <w:lang w:eastAsia="en-CA"/>
              </w:rPr>
              <w:t>0.9167</w:t>
            </w:r>
          </w:p>
        </w:tc>
        <w:tc>
          <w:tcPr>
            <w:tcW w:w="992" w:type="dxa"/>
            <w:tcBorders>
              <w:bottom w:val="single" w:sz="4" w:space="0" w:color="auto"/>
            </w:tcBorders>
            <w:noWrap/>
            <w:vAlign w:val="center"/>
          </w:tcPr>
          <w:p w:rsidR="00BA7929" w:rsidRPr="00C729F0" w:rsidRDefault="00BA7929" w:rsidP="00697743">
            <w:pPr>
              <w:jc w:val="center"/>
              <w:rPr>
                <w:sz w:val="20"/>
                <w:lang w:eastAsia="en-CA"/>
              </w:rPr>
            </w:pPr>
            <w:r w:rsidRPr="00C729F0">
              <w:rPr>
                <w:sz w:val="20"/>
                <w:lang w:eastAsia="en-CA"/>
              </w:rPr>
              <w:t>0.6560</w:t>
            </w:r>
          </w:p>
        </w:tc>
        <w:tc>
          <w:tcPr>
            <w:tcW w:w="993" w:type="dxa"/>
            <w:tcBorders>
              <w:bottom w:val="single" w:sz="4" w:space="0" w:color="auto"/>
            </w:tcBorders>
            <w:noWrap/>
            <w:vAlign w:val="center"/>
          </w:tcPr>
          <w:p w:rsidR="00BA7929" w:rsidRPr="00C729F0" w:rsidRDefault="00BA7929" w:rsidP="00697743">
            <w:pPr>
              <w:jc w:val="center"/>
              <w:rPr>
                <w:sz w:val="20"/>
                <w:lang w:eastAsia="en-CA"/>
              </w:rPr>
            </w:pPr>
            <w:r w:rsidRPr="00C729F0">
              <w:rPr>
                <w:sz w:val="20"/>
                <w:lang w:eastAsia="en-CA"/>
              </w:rPr>
              <w:t>0.8571</w:t>
            </w:r>
          </w:p>
        </w:tc>
        <w:tc>
          <w:tcPr>
            <w:tcW w:w="992" w:type="dxa"/>
            <w:tcBorders>
              <w:bottom w:val="single" w:sz="4" w:space="0" w:color="auto"/>
            </w:tcBorders>
            <w:noWrap/>
            <w:vAlign w:val="center"/>
          </w:tcPr>
          <w:p w:rsidR="00BA7929" w:rsidRPr="00C729F0" w:rsidRDefault="00BA7929" w:rsidP="00697743">
            <w:pPr>
              <w:jc w:val="center"/>
              <w:rPr>
                <w:sz w:val="20"/>
                <w:lang w:eastAsia="en-CA"/>
              </w:rPr>
            </w:pPr>
            <w:r w:rsidRPr="00C729F0">
              <w:rPr>
                <w:sz w:val="20"/>
                <w:lang w:eastAsia="en-CA"/>
              </w:rPr>
              <w:t>0.4360</w:t>
            </w:r>
          </w:p>
        </w:tc>
        <w:tc>
          <w:tcPr>
            <w:tcW w:w="1134" w:type="dxa"/>
            <w:tcBorders>
              <w:bottom w:val="single" w:sz="4" w:space="0" w:color="auto"/>
            </w:tcBorders>
            <w:noWrap/>
            <w:vAlign w:val="center"/>
          </w:tcPr>
          <w:p w:rsidR="00BA7929" w:rsidRPr="00C729F0" w:rsidRDefault="00BA7929" w:rsidP="00697743">
            <w:pPr>
              <w:jc w:val="center"/>
              <w:rPr>
                <w:sz w:val="20"/>
                <w:lang w:eastAsia="en-CA"/>
              </w:rPr>
            </w:pPr>
            <w:r w:rsidRPr="00C729F0">
              <w:rPr>
                <w:sz w:val="20"/>
                <w:lang w:eastAsia="en-CA"/>
              </w:rPr>
              <w:t>0.9041</w:t>
            </w:r>
          </w:p>
        </w:tc>
        <w:tc>
          <w:tcPr>
            <w:tcW w:w="1008" w:type="dxa"/>
            <w:tcBorders>
              <w:bottom w:val="single" w:sz="4" w:space="0" w:color="auto"/>
            </w:tcBorders>
            <w:vAlign w:val="center"/>
          </w:tcPr>
          <w:p w:rsidR="00BA7929" w:rsidRPr="00C729F0" w:rsidRDefault="00BA7929" w:rsidP="00697743">
            <w:pPr>
              <w:jc w:val="center"/>
              <w:rPr>
                <w:sz w:val="20"/>
                <w:lang w:eastAsia="en-CA"/>
              </w:rPr>
            </w:pPr>
            <w:r w:rsidRPr="00C729F0">
              <w:rPr>
                <w:sz w:val="20"/>
                <w:lang w:eastAsia="en-CA"/>
              </w:rPr>
              <w:t>0.8219</w:t>
            </w:r>
          </w:p>
        </w:tc>
      </w:tr>
    </w:tbl>
    <w:p w:rsidR="00BA7929" w:rsidRPr="00706893" w:rsidRDefault="00BA7929" w:rsidP="00F76ACC"/>
    <w:p w:rsidR="00BA7929" w:rsidRPr="00706893" w:rsidRDefault="00BA7929" w:rsidP="00F76ACC">
      <w:pPr>
        <w:pStyle w:val="Reference"/>
        <w:spacing w:before="0" w:after="0" w:line="240" w:lineRule="auto"/>
        <w:rPr>
          <w:b/>
          <w:sz w:val="32"/>
          <w:szCs w:val="32"/>
        </w:rPr>
      </w:pPr>
    </w:p>
    <w:p w:rsidR="00BA7929" w:rsidRPr="00243353" w:rsidRDefault="00BA7929" w:rsidP="00243353">
      <w:pPr>
        <w:pStyle w:val="Reference"/>
        <w:spacing w:before="0" w:after="0" w:line="240" w:lineRule="auto"/>
        <w:ind w:left="0" w:firstLine="0"/>
        <w:rPr>
          <w:b/>
          <w:szCs w:val="24"/>
        </w:rPr>
      </w:pPr>
      <w:r w:rsidRPr="00706893">
        <w:rPr>
          <w:b/>
          <w:sz w:val="32"/>
          <w:szCs w:val="32"/>
        </w:rPr>
        <w:br w:type="page"/>
      </w:r>
      <w:r w:rsidRPr="00243353">
        <w:rPr>
          <w:b/>
          <w:szCs w:val="24"/>
        </w:rPr>
        <w:t>Table III</w:t>
      </w:r>
    </w:p>
    <w:p w:rsidR="00BA7929" w:rsidRPr="00243353" w:rsidRDefault="00BA7929" w:rsidP="004817B9">
      <w:pPr>
        <w:pStyle w:val="Reference"/>
        <w:spacing w:before="0" w:after="0" w:line="240" w:lineRule="auto"/>
        <w:rPr>
          <w:b/>
          <w:szCs w:val="24"/>
        </w:rPr>
      </w:pPr>
      <w:r w:rsidRPr="00243353">
        <w:rPr>
          <w:b/>
          <w:szCs w:val="24"/>
        </w:rPr>
        <w:t xml:space="preserve">Inflation Determinants </w:t>
      </w:r>
    </w:p>
    <w:p w:rsidR="00BA7929" w:rsidRPr="00706893" w:rsidRDefault="00BA7929" w:rsidP="004817B9">
      <w:pPr>
        <w:pStyle w:val="Reference"/>
        <w:spacing w:before="0" w:after="0" w:line="240" w:lineRule="auto"/>
        <w:rPr>
          <w:b/>
          <w:sz w:val="20"/>
        </w:rPr>
      </w:pPr>
    </w:p>
    <w:p w:rsidR="00BA7929" w:rsidRPr="00706893" w:rsidRDefault="00BA7929" w:rsidP="00243353">
      <w:pPr>
        <w:pStyle w:val="Reference"/>
        <w:spacing w:before="0" w:after="0" w:line="240" w:lineRule="auto"/>
        <w:ind w:left="0" w:firstLine="0"/>
        <w:jc w:val="both"/>
        <w:rPr>
          <w:sz w:val="32"/>
          <w:szCs w:val="32"/>
        </w:rPr>
      </w:pPr>
      <w:r w:rsidRPr="00706893">
        <w:rPr>
          <w:sz w:val="20"/>
        </w:rPr>
        <w:t>Table II</w:t>
      </w:r>
      <w:r>
        <w:rPr>
          <w:sz w:val="20"/>
        </w:rPr>
        <w:t>I</w:t>
      </w:r>
      <w:r w:rsidRPr="00706893">
        <w:rPr>
          <w:sz w:val="20"/>
        </w:rPr>
        <w:t xml:space="preserve"> summarizes regression estimates that characterize the cross-sectional relation between inflation during the short-sale ban (measured in percent) and indicators of whether a stock was on the short-sale ban list, whether it was optioned, and whether the issuer received TARP funding in 2008.  For each stock we measure inflation as the difference between the cumulative return estimated from the factor model and the actual cumulative return.  Models 1 and 2 are estimated with the full stock sample, while Model 3 is estimated only with the banned stock sample.  BAN, OPTION</w:t>
      </w:r>
      <w:r w:rsidR="00D310D0">
        <w:rPr>
          <w:sz w:val="20"/>
        </w:rPr>
        <w:t>,</w:t>
      </w:r>
      <w:r w:rsidRPr="00706893">
        <w:rPr>
          <w:sz w:val="20"/>
        </w:rPr>
        <w:t xml:space="preserve"> and TARP are </w:t>
      </w:r>
      <w:r w:rsidR="008D0597">
        <w:rPr>
          <w:sz w:val="20"/>
        </w:rPr>
        <w:t xml:space="preserve"> 0,1</w:t>
      </w:r>
      <w:r w:rsidRPr="00706893">
        <w:rPr>
          <w:sz w:val="20"/>
        </w:rPr>
        <w:t xml:space="preserve"> indicators of whether the stock was included on the short-sale ban list, it had listed options, and the issuer received TARP funding before </w:t>
      </w:r>
      <w:smartTag w:uri="urn:schemas-microsoft-com:office:smarttags" w:element="date">
        <w:smartTagPr>
          <w:attr w:name="Year" w:val="2008"/>
          <w:attr w:name="Day" w:val="31"/>
          <w:attr w:name="Month" w:val="12"/>
        </w:smartTagPr>
        <w:r w:rsidRPr="00706893">
          <w:rPr>
            <w:sz w:val="20"/>
          </w:rPr>
          <w:t>December 31, 2008</w:t>
        </w:r>
      </w:smartTag>
      <w:r w:rsidRPr="00706893">
        <w:rPr>
          <w:sz w:val="20"/>
        </w:rPr>
        <w:t xml:space="preserve">.  The control variables are SIZE, market capitalization on </w:t>
      </w:r>
      <w:smartTag w:uri="urn:schemas-microsoft-com:office:smarttags" w:element="date">
        <w:smartTagPr>
          <w:attr w:name="Month" w:val="10"/>
          <w:attr w:name="Day" w:val="8"/>
          <w:attr w:name="Year" w:val="2008"/>
        </w:smartTagPr>
        <w:r w:rsidRPr="00706893">
          <w:rPr>
            <w:sz w:val="20"/>
          </w:rPr>
          <w:t>October 8, 2008</w:t>
        </w:r>
      </w:smartTag>
      <w:r w:rsidRPr="00706893">
        <w:rPr>
          <w:sz w:val="20"/>
        </w:rPr>
        <w:t xml:space="preserve">; SHORT, the percentage of float sold short on </w:t>
      </w:r>
      <w:smartTag w:uri="urn:schemas-microsoft-com:office:smarttags" w:element="date">
        <w:smartTagPr>
          <w:attr w:name="Month" w:val="9"/>
          <w:attr w:name="Day" w:val="15"/>
          <w:attr w:name="Year" w:val="2008"/>
        </w:smartTagPr>
        <w:r w:rsidRPr="00706893">
          <w:rPr>
            <w:sz w:val="20"/>
          </w:rPr>
          <w:t>September 15, 2008</w:t>
        </w:r>
      </w:smartTag>
      <w:r w:rsidRPr="00706893">
        <w:rPr>
          <w:sz w:val="20"/>
        </w:rPr>
        <w:t xml:space="preserve">;   AMIHUD, the mean Amihud measure of illiquidity (Amihud, 2002); VOLAT, the </w:t>
      </w:r>
      <w:r w:rsidR="006F3E19">
        <w:rPr>
          <w:sz w:val="20"/>
        </w:rPr>
        <w:t xml:space="preserve">square root of </w:t>
      </w:r>
      <w:r w:rsidRPr="00706893">
        <w:rPr>
          <w:sz w:val="20"/>
        </w:rPr>
        <w:t>mean squared return</w:t>
      </w:r>
      <w:r w:rsidR="00557E39">
        <w:rPr>
          <w:sz w:val="20"/>
        </w:rPr>
        <w:t>s</w:t>
      </w:r>
      <w:r w:rsidRPr="00706893">
        <w:rPr>
          <w:sz w:val="20"/>
        </w:rPr>
        <w:t xml:space="preserve">.  The latter two means are measured over the year before the short-sale ban.  The table reports standardized coefficient estimates with </w:t>
      </w:r>
      <w:r w:rsidRPr="00706893">
        <w:rPr>
          <w:i/>
          <w:sz w:val="20"/>
        </w:rPr>
        <w:t>t</w:t>
      </w:r>
      <w:r w:rsidRPr="00706893">
        <w:rPr>
          <w:sz w:val="20"/>
        </w:rPr>
        <w:t xml:space="preserve">-statistic values in parentheses below.  </w:t>
      </w:r>
    </w:p>
    <w:p w:rsidR="00BA7929" w:rsidRPr="00706893" w:rsidRDefault="00BA7929" w:rsidP="00F76ACC">
      <w:pPr>
        <w:pStyle w:val="Reference"/>
        <w:spacing w:before="0" w:after="0" w:line="240" w:lineRule="auto"/>
        <w:rPr>
          <w:sz w:val="32"/>
          <w:szCs w:val="32"/>
        </w:rPr>
      </w:pPr>
    </w:p>
    <w:tbl>
      <w:tblPr>
        <w:tblW w:w="9095" w:type="dxa"/>
        <w:jc w:val="center"/>
        <w:tblInd w:w="-968" w:type="dxa"/>
        <w:tblLook w:val="00A0" w:firstRow="1" w:lastRow="0" w:firstColumn="1" w:lastColumn="0" w:noHBand="0" w:noVBand="0"/>
      </w:tblPr>
      <w:tblGrid>
        <w:gridCol w:w="2987"/>
        <w:gridCol w:w="2016"/>
        <w:gridCol w:w="1953"/>
        <w:gridCol w:w="2139"/>
      </w:tblGrid>
      <w:tr w:rsidR="00243353" w:rsidRPr="00243353" w:rsidTr="00243353">
        <w:trPr>
          <w:trHeight w:val="389"/>
          <w:jc w:val="center"/>
        </w:trPr>
        <w:tc>
          <w:tcPr>
            <w:tcW w:w="9095" w:type="dxa"/>
            <w:gridSpan w:val="4"/>
            <w:tcBorders>
              <w:top w:val="single" w:sz="4" w:space="0" w:color="auto"/>
              <w:bottom w:val="single" w:sz="4" w:space="0" w:color="auto"/>
            </w:tcBorders>
            <w:noWrap/>
            <w:vAlign w:val="center"/>
          </w:tcPr>
          <w:p w:rsidR="00243353" w:rsidRPr="00243353" w:rsidRDefault="00243353" w:rsidP="004817B9">
            <w:pPr>
              <w:jc w:val="center"/>
              <w:rPr>
                <w:sz w:val="20"/>
                <w:lang w:eastAsia="en-CA"/>
              </w:rPr>
            </w:pPr>
            <w:r w:rsidRPr="00243353">
              <w:rPr>
                <w:sz w:val="20"/>
                <w:lang w:eastAsia="en-CA"/>
              </w:rPr>
              <w:t>Dependent Variable = Inflation</w:t>
            </w:r>
          </w:p>
        </w:tc>
      </w:tr>
      <w:tr w:rsidR="00BA7929" w:rsidRPr="00243353" w:rsidTr="00243353">
        <w:trPr>
          <w:trHeight w:val="303"/>
          <w:jc w:val="center"/>
        </w:trPr>
        <w:tc>
          <w:tcPr>
            <w:tcW w:w="2987" w:type="dxa"/>
            <w:tcBorders>
              <w:top w:val="single" w:sz="4" w:space="0" w:color="auto"/>
              <w:bottom w:val="single" w:sz="4" w:space="0" w:color="auto"/>
            </w:tcBorders>
            <w:noWrap/>
            <w:vAlign w:val="center"/>
          </w:tcPr>
          <w:p w:rsidR="00BA7929" w:rsidRPr="00243353" w:rsidRDefault="00B37CE3" w:rsidP="004817B9">
            <w:pPr>
              <w:rPr>
                <w:sz w:val="20"/>
                <w:lang w:eastAsia="en-CA"/>
              </w:rPr>
            </w:pPr>
            <w:r>
              <w:rPr>
                <w:sz w:val="20"/>
                <w:lang w:eastAsia="en-CA"/>
              </w:rPr>
              <w:t>Model</w:t>
            </w:r>
          </w:p>
        </w:tc>
        <w:tc>
          <w:tcPr>
            <w:tcW w:w="2016" w:type="dxa"/>
            <w:tcBorders>
              <w:top w:val="single" w:sz="4" w:space="0" w:color="auto"/>
              <w:bottom w:val="single" w:sz="4" w:space="0" w:color="auto"/>
            </w:tcBorders>
            <w:noWrap/>
            <w:vAlign w:val="center"/>
          </w:tcPr>
          <w:p w:rsidR="00BA7929" w:rsidRPr="00243353" w:rsidRDefault="00243353" w:rsidP="00243353">
            <w:pPr>
              <w:jc w:val="center"/>
              <w:rPr>
                <w:sz w:val="20"/>
                <w:lang w:eastAsia="en-CA"/>
              </w:rPr>
            </w:pPr>
            <w:r w:rsidRPr="00243353">
              <w:rPr>
                <w:sz w:val="20"/>
                <w:lang w:eastAsia="en-CA"/>
              </w:rPr>
              <w:t>(</w:t>
            </w:r>
            <w:r w:rsidR="00BA7929" w:rsidRPr="00243353">
              <w:rPr>
                <w:sz w:val="20"/>
                <w:lang w:eastAsia="en-CA"/>
              </w:rPr>
              <w:t>1</w:t>
            </w:r>
            <w:r w:rsidRPr="00243353">
              <w:rPr>
                <w:sz w:val="20"/>
                <w:lang w:eastAsia="en-CA"/>
              </w:rPr>
              <w:t>)</w:t>
            </w:r>
          </w:p>
        </w:tc>
        <w:tc>
          <w:tcPr>
            <w:tcW w:w="1953" w:type="dxa"/>
            <w:tcBorders>
              <w:top w:val="single" w:sz="4" w:space="0" w:color="auto"/>
              <w:bottom w:val="single" w:sz="4" w:space="0" w:color="auto"/>
            </w:tcBorders>
            <w:noWrap/>
            <w:vAlign w:val="center"/>
          </w:tcPr>
          <w:p w:rsidR="00BA7929" w:rsidRPr="00243353" w:rsidRDefault="00243353" w:rsidP="00243353">
            <w:pPr>
              <w:jc w:val="center"/>
              <w:rPr>
                <w:sz w:val="20"/>
                <w:lang w:eastAsia="en-CA"/>
              </w:rPr>
            </w:pPr>
            <w:r w:rsidRPr="00243353">
              <w:rPr>
                <w:sz w:val="20"/>
                <w:lang w:eastAsia="en-CA"/>
              </w:rPr>
              <w:t>(</w:t>
            </w:r>
            <w:r w:rsidR="00BA7929" w:rsidRPr="00243353">
              <w:rPr>
                <w:sz w:val="20"/>
                <w:lang w:eastAsia="en-CA"/>
              </w:rPr>
              <w:t>2</w:t>
            </w:r>
            <w:r w:rsidRPr="00243353">
              <w:rPr>
                <w:sz w:val="20"/>
                <w:lang w:eastAsia="en-CA"/>
              </w:rPr>
              <w:t>)</w:t>
            </w:r>
          </w:p>
        </w:tc>
        <w:tc>
          <w:tcPr>
            <w:tcW w:w="2139" w:type="dxa"/>
            <w:tcBorders>
              <w:top w:val="single" w:sz="4" w:space="0" w:color="auto"/>
              <w:bottom w:val="single" w:sz="4" w:space="0" w:color="auto"/>
            </w:tcBorders>
            <w:vAlign w:val="center"/>
          </w:tcPr>
          <w:p w:rsidR="00BA7929" w:rsidRPr="00243353" w:rsidRDefault="00243353" w:rsidP="00243353">
            <w:pPr>
              <w:jc w:val="center"/>
              <w:rPr>
                <w:sz w:val="20"/>
                <w:lang w:eastAsia="en-CA"/>
              </w:rPr>
            </w:pPr>
            <w:r w:rsidRPr="00243353">
              <w:rPr>
                <w:sz w:val="20"/>
                <w:lang w:eastAsia="en-CA"/>
              </w:rPr>
              <w:t>(</w:t>
            </w:r>
            <w:r w:rsidR="00BA7929" w:rsidRPr="00243353">
              <w:rPr>
                <w:sz w:val="20"/>
                <w:lang w:eastAsia="en-CA"/>
              </w:rPr>
              <w:t>3</w:t>
            </w:r>
            <w:r w:rsidRPr="00243353">
              <w:rPr>
                <w:sz w:val="20"/>
                <w:lang w:eastAsia="en-CA"/>
              </w:rPr>
              <w:t>)</w:t>
            </w:r>
          </w:p>
        </w:tc>
      </w:tr>
      <w:tr w:rsidR="00BA7929" w:rsidRPr="00243353" w:rsidTr="00243353">
        <w:trPr>
          <w:trHeight w:val="255"/>
          <w:jc w:val="center"/>
        </w:trPr>
        <w:tc>
          <w:tcPr>
            <w:tcW w:w="2987" w:type="dxa"/>
            <w:tcBorders>
              <w:top w:val="single" w:sz="4" w:space="0" w:color="auto"/>
            </w:tcBorders>
            <w:noWrap/>
            <w:vAlign w:val="center"/>
          </w:tcPr>
          <w:p w:rsidR="00BA7929" w:rsidRPr="00243353" w:rsidRDefault="00BA7929" w:rsidP="00243353">
            <w:pPr>
              <w:rPr>
                <w:sz w:val="20"/>
                <w:lang w:eastAsia="en-CA"/>
              </w:rPr>
            </w:pPr>
            <w:r w:rsidRPr="00243353">
              <w:rPr>
                <w:sz w:val="20"/>
                <w:lang w:eastAsia="en-CA"/>
              </w:rPr>
              <w:t>BAN</w:t>
            </w:r>
          </w:p>
        </w:tc>
        <w:tc>
          <w:tcPr>
            <w:tcW w:w="2016" w:type="dxa"/>
            <w:tcBorders>
              <w:top w:val="single" w:sz="4" w:space="0" w:color="auto"/>
            </w:tcBorders>
            <w:noWrap/>
            <w:vAlign w:val="center"/>
          </w:tcPr>
          <w:p w:rsidR="00BA7929" w:rsidRPr="00243353" w:rsidRDefault="00BA7929" w:rsidP="00243353">
            <w:pPr>
              <w:jc w:val="center"/>
              <w:rPr>
                <w:sz w:val="20"/>
                <w:lang w:eastAsia="en-CA"/>
              </w:rPr>
            </w:pPr>
            <w:r w:rsidRPr="00243353">
              <w:rPr>
                <w:sz w:val="20"/>
                <w:lang w:eastAsia="en-CA"/>
              </w:rPr>
              <w:t>0.12</w:t>
            </w:r>
          </w:p>
        </w:tc>
        <w:tc>
          <w:tcPr>
            <w:tcW w:w="1953" w:type="dxa"/>
            <w:tcBorders>
              <w:top w:val="single" w:sz="4" w:space="0" w:color="auto"/>
            </w:tcBorders>
            <w:noWrap/>
            <w:vAlign w:val="center"/>
          </w:tcPr>
          <w:p w:rsidR="00BA7929" w:rsidRPr="00243353" w:rsidRDefault="00BA7929" w:rsidP="00243353">
            <w:pPr>
              <w:jc w:val="center"/>
              <w:rPr>
                <w:sz w:val="20"/>
                <w:lang w:eastAsia="en-CA"/>
              </w:rPr>
            </w:pPr>
            <w:r w:rsidRPr="00243353">
              <w:rPr>
                <w:sz w:val="20"/>
                <w:lang w:eastAsia="en-CA"/>
              </w:rPr>
              <w:t>0.14</w:t>
            </w:r>
          </w:p>
        </w:tc>
        <w:tc>
          <w:tcPr>
            <w:tcW w:w="2139" w:type="dxa"/>
            <w:tcBorders>
              <w:top w:val="single" w:sz="4" w:space="0" w:color="auto"/>
            </w:tcBorders>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(7.77)</w:t>
            </w:r>
          </w:p>
        </w:tc>
        <w:tc>
          <w:tcPr>
            <w:tcW w:w="1953" w:type="dxa"/>
            <w:noWrap/>
            <w:vAlign w:val="center"/>
          </w:tcPr>
          <w:p w:rsidR="00BA7929" w:rsidRPr="00243353" w:rsidRDefault="00BA7929" w:rsidP="00243353">
            <w:pPr>
              <w:jc w:val="center"/>
              <w:rPr>
                <w:sz w:val="20"/>
                <w:lang w:eastAsia="en-CA"/>
              </w:rPr>
            </w:pPr>
            <w:r w:rsidRPr="00243353">
              <w:rPr>
                <w:sz w:val="20"/>
                <w:lang w:eastAsia="en-CA"/>
              </w:rPr>
              <w:t>(5.52)</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OPTION</w:t>
            </w:r>
          </w:p>
        </w:tc>
        <w:tc>
          <w:tcPr>
            <w:tcW w:w="2016" w:type="dxa"/>
            <w:noWrap/>
            <w:vAlign w:val="center"/>
          </w:tcPr>
          <w:p w:rsidR="00BA7929" w:rsidRPr="00243353" w:rsidRDefault="00BA7929" w:rsidP="00243353">
            <w:pPr>
              <w:jc w:val="center"/>
              <w:rPr>
                <w:sz w:val="20"/>
                <w:lang w:eastAsia="en-CA"/>
              </w:rPr>
            </w:pPr>
            <w:r w:rsidRPr="00243353">
              <w:rPr>
                <w:sz w:val="20"/>
                <w:lang w:eastAsia="en-CA"/>
              </w:rPr>
              <w:t>-0.019</w:t>
            </w:r>
          </w:p>
        </w:tc>
        <w:tc>
          <w:tcPr>
            <w:tcW w:w="1953" w:type="dxa"/>
            <w:noWrap/>
            <w:vAlign w:val="center"/>
          </w:tcPr>
          <w:p w:rsidR="00BA7929" w:rsidRPr="00243353" w:rsidRDefault="00BA7929" w:rsidP="00243353">
            <w:pPr>
              <w:jc w:val="center"/>
              <w:rPr>
                <w:sz w:val="20"/>
                <w:lang w:eastAsia="en-CA"/>
              </w:rPr>
            </w:pPr>
            <w:r w:rsidRPr="00243353">
              <w:rPr>
                <w:sz w:val="20"/>
                <w:lang w:eastAsia="en-CA"/>
              </w:rPr>
              <w:t>0.009</w:t>
            </w:r>
          </w:p>
        </w:tc>
        <w:tc>
          <w:tcPr>
            <w:tcW w:w="2139" w:type="dxa"/>
            <w:vAlign w:val="center"/>
          </w:tcPr>
          <w:p w:rsidR="00BA7929" w:rsidRPr="00243353" w:rsidRDefault="00BA7929" w:rsidP="00243353">
            <w:pPr>
              <w:jc w:val="center"/>
              <w:rPr>
                <w:sz w:val="20"/>
                <w:lang w:eastAsia="en-CA"/>
              </w:rPr>
            </w:pPr>
            <w:r w:rsidRPr="00243353">
              <w:rPr>
                <w:sz w:val="20"/>
                <w:lang w:eastAsia="en-CA"/>
              </w:rPr>
              <w:t>-0.14</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(1.30)</w:t>
            </w:r>
          </w:p>
        </w:tc>
        <w:tc>
          <w:tcPr>
            <w:tcW w:w="1953" w:type="dxa"/>
            <w:noWrap/>
            <w:vAlign w:val="center"/>
          </w:tcPr>
          <w:p w:rsidR="00BA7929" w:rsidRPr="00243353" w:rsidRDefault="00BA7929" w:rsidP="00243353">
            <w:pPr>
              <w:jc w:val="center"/>
              <w:rPr>
                <w:sz w:val="20"/>
                <w:lang w:eastAsia="en-CA"/>
              </w:rPr>
            </w:pPr>
            <w:r w:rsidRPr="00243353">
              <w:rPr>
                <w:sz w:val="20"/>
                <w:lang w:eastAsia="en-CA"/>
              </w:rPr>
              <w:t>(0.54)</w:t>
            </w:r>
          </w:p>
        </w:tc>
        <w:tc>
          <w:tcPr>
            <w:tcW w:w="2139" w:type="dxa"/>
            <w:vAlign w:val="center"/>
          </w:tcPr>
          <w:p w:rsidR="00BA7929" w:rsidRPr="00243353" w:rsidRDefault="00BA7929" w:rsidP="00243353">
            <w:pPr>
              <w:jc w:val="center"/>
              <w:rPr>
                <w:sz w:val="20"/>
                <w:lang w:eastAsia="en-CA"/>
              </w:rPr>
            </w:pPr>
            <w:r w:rsidRPr="00243353">
              <w:rPr>
                <w:sz w:val="20"/>
                <w:lang w:eastAsia="en-CA"/>
              </w:rPr>
              <w:t>(3.38)</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TARP</w:t>
            </w:r>
          </w:p>
        </w:tc>
        <w:tc>
          <w:tcPr>
            <w:tcW w:w="2016" w:type="dxa"/>
            <w:noWrap/>
            <w:vAlign w:val="center"/>
          </w:tcPr>
          <w:p w:rsidR="00BA7929" w:rsidRPr="00243353" w:rsidRDefault="00BA7929" w:rsidP="00243353">
            <w:pPr>
              <w:jc w:val="center"/>
              <w:rPr>
                <w:sz w:val="20"/>
                <w:lang w:eastAsia="en-CA"/>
              </w:rPr>
            </w:pPr>
            <w:r w:rsidRPr="00243353">
              <w:rPr>
                <w:sz w:val="20"/>
                <w:lang w:eastAsia="en-CA"/>
              </w:rPr>
              <w:t>0.013</w:t>
            </w:r>
          </w:p>
        </w:tc>
        <w:tc>
          <w:tcPr>
            <w:tcW w:w="1953" w:type="dxa"/>
            <w:noWrap/>
            <w:vAlign w:val="center"/>
          </w:tcPr>
          <w:p w:rsidR="00BA7929" w:rsidRPr="00243353" w:rsidRDefault="00BA7929" w:rsidP="00243353">
            <w:pPr>
              <w:jc w:val="center"/>
              <w:rPr>
                <w:sz w:val="20"/>
                <w:lang w:eastAsia="en-CA"/>
              </w:rPr>
            </w:pPr>
            <w:r w:rsidRPr="00243353">
              <w:rPr>
                <w:sz w:val="20"/>
                <w:lang w:eastAsia="en-CA"/>
              </w:rPr>
              <w:t>0.010</w:t>
            </w:r>
          </w:p>
        </w:tc>
        <w:tc>
          <w:tcPr>
            <w:tcW w:w="2139" w:type="dxa"/>
            <w:vAlign w:val="center"/>
          </w:tcPr>
          <w:p w:rsidR="00BA7929" w:rsidRPr="00243353" w:rsidRDefault="00BA7929" w:rsidP="00243353">
            <w:pPr>
              <w:jc w:val="center"/>
              <w:rPr>
                <w:sz w:val="20"/>
                <w:lang w:eastAsia="en-CA"/>
              </w:rPr>
            </w:pPr>
            <w:r w:rsidRPr="00243353">
              <w:rPr>
                <w:sz w:val="20"/>
                <w:lang w:eastAsia="en-CA"/>
              </w:rPr>
              <w:t>0.030</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(0.84)</w:t>
            </w:r>
          </w:p>
        </w:tc>
        <w:tc>
          <w:tcPr>
            <w:tcW w:w="1953" w:type="dxa"/>
            <w:noWrap/>
            <w:vAlign w:val="center"/>
          </w:tcPr>
          <w:p w:rsidR="00BA7929" w:rsidRPr="00243353" w:rsidRDefault="00BA7929" w:rsidP="00243353">
            <w:pPr>
              <w:jc w:val="center"/>
              <w:rPr>
                <w:sz w:val="20"/>
                <w:lang w:eastAsia="en-CA"/>
              </w:rPr>
            </w:pPr>
            <w:r w:rsidRPr="00243353">
              <w:rPr>
                <w:sz w:val="20"/>
                <w:lang w:eastAsia="en-CA"/>
              </w:rPr>
              <w:t>(0.67)</w:t>
            </w:r>
          </w:p>
        </w:tc>
        <w:tc>
          <w:tcPr>
            <w:tcW w:w="2139" w:type="dxa"/>
            <w:vAlign w:val="center"/>
          </w:tcPr>
          <w:p w:rsidR="00BA7929" w:rsidRPr="00243353" w:rsidRDefault="00BA7929" w:rsidP="00243353">
            <w:pPr>
              <w:jc w:val="center"/>
              <w:rPr>
                <w:sz w:val="20"/>
                <w:lang w:eastAsia="en-CA"/>
              </w:rPr>
            </w:pPr>
            <w:r w:rsidRPr="00243353">
              <w:rPr>
                <w:sz w:val="20"/>
                <w:lang w:eastAsia="en-CA"/>
              </w:rPr>
              <w:t>(0.80)</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SIZE</w:t>
            </w:r>
          </w:p>
        </w:tc>
        <w:tc>
          <w:tcPr>
            <w:tcW w:w="2016" w:type="dxa"/>
            <w:noWrap/>
            <w:vAlign w:val="center"/>
          </w:tcPr>
          <w:p w:rsidR="00BA7929" w:rsidRPr="00243353" w:rsidRDefault="00BA7929" w:rsidP="00243353">
            <w:pPr>
              <w:jc w:val="center"/>
              <w:rPr>
                <w:sz w:val="20"/>
                <w:lang w:eastAsia="en-CA"/>
              </w:rPr>
            </w:pPr>
            <w:r w:rsidRPr="00243353">
              <w:rPr>
                <w:sz w:val="20"/>
                <w:lang w:eastAsia="en-CA"/>
              </w:rPr>
              <w:t>0.062</w:t>
            </w:r>
          </w:p>
        </w:tc>
        <w:tc>
          <w:tcPr>
            <w:tcW w:w="1953" w:type="dxa"/>
            <w:noWrap/>
            <w:vAlign w:val="center"/>
          </w:tcPr>
          <w:p w:rsidR="00BA7929" w:rsidRPr="00243353" w:rsidRDefault="00BA7929" w:rsidP="00243353">
            <w:pPr>
              <w:jc w:val="center"/>
              <w:rPr>
                <w:sz w:val="20"/>
                <w:lang w:eastAsia="en-CA"/>
              </w:rPr>
            </w:pPr>
            <w:r w:rsidRPr="00243353">
              <w:rPr>
                <w:sz w:val="20"/>
                <w:lang w:eastAsia="en-CA"/>
              </w:rPr>
              <w:t>0.067</w:t>
            </w:r>
          </w:p>
        </w:tc>
        <w:tc>
          <w:tcPr>
            <w:tcW w:w="2139" w:type="dxa"/>
            <w:vAlign w:val="center"/>
          </w:tcPr>
          <w:p w:rsidR="00BA7929" w:rsidRPr="00243353" w:rsidRDefault="00BA7929" w:rsidP="00243353">
            <w:pPr>
              <w:jc w:val="center"/>
              <w:rPr>
                <w:sz w:val="20"/>
                <w:lang w:eastAsia="en-CA"/>
              </w:rPr>
            </w:pPr>
            <w:r w:rsidRPr="00243353">
              <w:rPr>
                <w:sz w:val="20"/>
                <w:lang w:eastAsia="en-CA"/>
              </w:rPr>
              <w:t>0.040</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(4.29)</w:t>
            </w:r>
          </w:p>
        </w:tc>
        <w:tc>
          <w:tcPr>
            <w:tcW w:w="1953" w:type="dxa"/>
            <w:noWrap/>
            <w:vAlign w:val="center"/>
          </w:tcPr>
          <w:p w:rsidR="00BA7929" w:rsidRPr="00243353" w:rsidRDefault="00BA7929" w:rsidP="00243353">
            <w:pPr>
              <w:jc w:val="center"/>
              <w:rPr>
                <w:sz w:val="20"/>
                <w:lang w:eastAsia="en-CA"/>
              </w:rPr>
            </w:pPr>
            <w:r w:rsidRPr="00243353">
              <w:rPr>
                <w:sz w:val="20"/>
                <w:lang w:eastAsia="en-CA"/>
              </w:rPr>
              <w:t>(4.19)</w:t>
            </w:r>
          </w:p>
        </w:tc>
        <w:tc>
          <w:tcPr>
            <w:tcW w:w="2139" w:type="dxa"/>
            <w:vAlign w:val="center"/>
          </w:tcPr>
          <w:p w:rsidR="00BA7929" w:rsidRPr="00243353" w:rsidRDefault="00BA7929" w:rsidP="00243353">
            <w:pPr>
              <w:jc w:val="center"/>
              <w:rPr>
                <w:sz w:val="20"/>
                <w:lang w:eastAsia="en-CA"/>
              </w:rPr>
            </w:pPr>
            <w:r w:rsidRPr="00243353">
              <w:rPr>
                <w:sz w:val="20"/>
                <w:lang w:eastAsia="en-CA"/>
              </w:rPr>
              <w:t>(1.03)</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SHORT</w:t>
            </w:r>
          </w:p>
        </w:tc>
        <w:tc>
          <w:tcPr>
            <w:tcW w:w="2016" w:type="dxa"/>
            <w:noWrap/>
            <w:vAlign w:val="center"/>
          </w:tcPr>
          <w:p w:rsidR="00BA7929" w:rsidRPr="00243353" w:rsidRDefault="00BA7929" w:rsidP="00243353">
            <w:pPr>
              <w:jc w:val="center"/>
              <w:rPr>
                <w:sz w:val="20"/>
                <w:lang w:eastAsia="en-CA"/>
              </w:rPr>
            </w:pPr>
            <w:r w:rsidRPr="00243353">
              <w:rPr>
                <w:sz w:val="20"/>
                <w:lang w:eastAsia="en-CA"/>
              </w:rPr>
              <w:t>-0.023</w:t>
            </w:r>
          </w:p>
        </w:tc>
        <w:tc>
          <w:tcPr>
            <w:tcW w:w="1953" w:type="dxa"/>
            <w:noWrap/>
            <w:vAlign w:val="center"/>
          </w:tcPr>
          <w:p w:rsidR="00BA7929" w:rsidRPr="00243353" w:rsidRDefault="00BA7929" w:rsidP="00243353">
            <w:pPr>
              <w:jc w:val="center"/>
              <w:rPr>
                <w:sz w:val="20"/>
                <w:lang w:eastAsia="en-CA"/>
              </w:rPr>
            </w:pPr>
            <w:r w:rsidRPr="00243353">
              <w:rPr>
                <w:sz w:val="20"/>
                <w:lang w:eastAsia="en-CA"/>
              </w:rPr>
              <w:t>-0.026</w:t>
            </w:r>
          </w:p>
        </w:tc>
        <w:tc>
          <w:tcPr>
            <w:tcW w:w="2139" w:type="dxa"/>
            <w:vAlign w:val="center"/>
          </w:tcPr>
          <w:p w:rsidR="00BA7929" w:rsidRPr="00243353" w:rsidRDefault="00BA7929" w:rsidP="00243353">
            <w:pPr>
              <w:jc w:val="center"/>
              <w:rPr>
                <w:sz w:val="20"/>
                <w:lang w:eastAsia="en-CA"/>
              </w:rPr>
            </w:pPr>
            <w:r w:rsidRPr="00243353">
              <w:rPr>
                <w:sz w:val="20"/>
                <w:lang w:eastAsia="en-CA"/>
              </w:rPr>
              <w:t>-0.088</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(1.56)</w:t>
            </w:r>
          </w:p>
        </w:tc>
        <w:tc>
          <w:tcPr>
            <w:tcW w:w="1953" w:type="dxa"/>
            <w:noWrap/>
            <w:vAlign w:val="center"/>
          </w:tcPr>
          <w:p w:rsidR="00BA7929" w:rsidRPr="00243353" w:rsidRDefault="00BA7929" w:rsidP="00243353">
            <w:pPr>
              <w:jc w:val="center"/>
              <w:rPr>
                <w:sz w:val="20"/>
                <w:lang w:eastAsia="en-CA"/>
              </w:rPr>
            </w:pPr>
            <w:r w:rsidRPr="00243353">
              <w:rPr>
                <w:sz w:val="20"/>
                <w:lang w:eastAsia="en-CA"/>
              </w:rPr>
              <w:t>(1.75)</w:t>
            </w:r>
          </w:p>
        </w:tc>
        <w:tc>
          <w:tcPr>
            <w:tcW w:w="2139" w:type="dxa"/>
            <w:vAlign w:val="center"/>
          </w:tcPr>
          <w:p w:rsidR="00BA7929" w:rsidRPr="00243353" w:rsidRDefault="00BA7929" w:rsidP="00243353">
            <w:pPr>
              <w:jc w:val="center"/>
              <w:rPr>
                <w:sz w:val="20"/>
                <w:lang w:eastAsia="en-CA"/>
              </w:rPr>
            </w:pPr>
            <w:r w:rsidRPr="00243353">
              <w:rPr>
                <w:sz w:val="20"/>
                <w:lang w:eastAsia="en-CA"/>
              </w:rPr>
              <w:t>(2.00)</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AMIHUD</w:t>
            </w:r>
          </w:p>
        </w:tc>
        <w:tc>
          <w:tcPr>
            <w:tcW w:w="2016" w:type="dxa"/>
            <w:noWrap/>
            <w:vAlign w:val="center"/>
          </w:tcPr>
          <w:p w:rsidR="00BA7929" w:rsidRPr="00243353" w:rsidRDefault="00BA7929" w:rsidP="00243353">
            <w:pPr>
              <w:jc w:val="center"/>
              <w:rPr>
                <w:sz w:val="20"/>
                <w:lang w:eastAsia="en-CA"/>
              </w:rPr>
            </w:pPr>
            <w:r w:rsidRPr="00243353">
              <w:rPr>
                <w:sz w:val="20"/>
                <w:lang w:eastAsia="en-CA"/>
              </w:rPr>
              <w:t>0.019</w:t>
            </w:r>
          </w:p>
        </w:tc>
        <w:tc>
          <w:tcPr>
            <w:tcW w:w="1953" w:type="dxa"/>
            <w:noWrap/>
            <w:vAlign w:val="center"/>
          </w:tcPr>
          <w:p w:rsidR="00BA7929" w:rsidRPr="00243353" w:rsidRDefault="00BA7929" w:rsidP="00243353">
            <w:pPr>
              <w:jc w:val="center"/>
              <w:rPr>
                <w:sz w:val="20"/>
                <w:lang w:eastAsia="en-CA"/>
              </w:rPr>
            </w:pPr>
            <w:r w:rsidRPr="00243353">
              <w:rPr>
                <w:sz w:val="20"/>
                <w:lang w:eastAsia="en-CA"/>
              </w:rPr>
              <w:t>0.022</w:t>
            </w:r>
          </w:p>
        </w:tc>
        <w:tc>
          <w:tcPr>
            <w:tcW w:w="2139" w:type="dxa"/>
            <w:vAlign w:val="center"/>
          </w:tcPr>
          <w:p w:rsidR="00BA7929" w:rsidRPr="00243353" w:rsidRDefault="00BA7929" w:rsidP="00243353">
            <w:pPr>
              <w:jc w:val="center"/>
              <w:rPr>
                <w:sz w:val="20"/>
                <w:lang w:eastAsia="en-CA"/>
              </w:rPr>
            </w:pPr>
            <w:r w:rsidRPr="00243353">
              <w:rPr>
                <w:sz w:val="20"/>
                <w:lang w:eastAsia="en-CA"/>
              </w:rPr>
              <w:t>0.00</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(1.32)</w:t>
            </w:r>
          </w:p>
        </w:tc>
        <w:tc>
          <w:tcPr>
            <w:tcW w:w="1953" w:type="dxa"/>
            <w:noWrap/>
            <w:vAlign w:val="center"/>
          </w:tcPr>
          <w:p w:rsidR="00BA7929" w:rsidRPr="00243353" w:rsidRDefault="00BA7929" w:rsidP="00243353">
            <w:pPr>
              <w:jc w:val="center"/>
              <w:rPr>
                <w:sz w:val="20"/>
                <w:lang w:eastAsia="en-CA"/>
              </w:rPr>
            </w:pPr>
            <w:r w:rsidRPr="00243353">
              <w:rPr>
                <w:sz w:val="20"/>
                <w:lang w:eastAsia="en-CA"/>
              </w:rPr>
              <w:t>(1.18)</w:t>
            </w:r>
          </w:p>
        </w:tc>
        <w:tc>
          <w:tcPr>
            <w:tcW w:w="2139" w:type="dxa"/>
            <w:vAlign w:val="center"/>
          </w:tcPr>
          <w:p w:rsidR="00BA7929" w:rsidRPr="00243353" w:rsidRDefault="00BA7929" w:rsidP="00243353">
            <w:pPr>
              <w:jc w:val="center"/>
              <w:rPr>
                <w:sz w:val="20"/>
                <w:lang w:eastAsia="en-CA"/>
              </w:rPr>
            </w:pPr>
            <w:r w:rsidRPr="00243353">
              <w:rPr>
                <w:sz w:val="20"/>
                <w:lang w:eastAsia="en-CA"/>
              </w:rPr>
              <w:t>(0.00)</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VOLAT</w:t>
            </w:r>
          </w:p>
        </w:tc>
        <w:tc>
          <w:tcPr>
            <w:tcW w:w="2016" w:type="dxa"/>
            <w:noWrap/>
            <w:vAlign w:val="center"/>
          </w:tcPr>
          <w:p w:rsidR="00BA7929" w:rsidRPr="00243353" w:rsidRDefault="00BA7929" w:rsidP="00243353">
            <w:pPr>
              <w:jc w:val="center"/>
              <w:rPr>
                <w:sz w:val="20"/>
                <w:lang w:eastAsia="en-CA"/>
              </w:rPr>
            </w:pPr>
            <w:r w:rsidRPr="00243353">
              <w:rPr>
                <w:sz w:val="20"/>
                <w:lang w:eastAsia="en-CA"/>
              </w:rPr>
              <w:t>0.084</w:t>
            </w:r>
          </w:p>
        </w:tc>
        <w:tc>
          <w:tcPr>
            <w:tcW w:w="1953" w:type="dxa"/>
            <w:noWrap/>
            <w:vAlign w:val="center"/>
          </w:tcPr>
          <w:p w:rsidR="00BA7929" w:rsidRPr="00243353" w:rsidRDefault="00BA7929" w:rsidP="00243353">
            <w:pPr>
              <w:jc w:val="center"/>
              <w:rPr>
                <w:sz w:val="20"/>
                <w:lang w:eastAsia="en-CA"/>
              </w:rPr>
            </w:pPr>
            <w:r w:rsidRPr="00243353">
              <w:rPr>
                <w:sz w:val="20"/>
                <w:lang w:eastAsia="en-CA"/>
              </w:rPr>
              <w:t>0.053</w:t>
            </w:r>
          </w:p>
        </w:tc>
        <w:tc>
          <w:tcPr>
            <w:tcW w:w="2139" w:type="dxa"/>
            <w:vAlign w:val="center"/>
          </w:tcPr>
          <w:p w:rsidR="00BA7929" w:rsidRPr="00243353" w:rsidRDefault="00BA7929" w:rsidP="00243353">
            <w:pPr>
              <w:jc w:val="center"/>
              <w:rPr>
                <w:sz w:val="20"/>
                <w:lang w:eastAsia="en-CA"/>
              </w:rPr>
            </w:pPr>
            <w:r w:rsidRPr="00243353">
              <w:rPr>
                <w:sz w:val="20"/>
                <w:lang w:eastAsia="en-CA"/>
              </w:rPr>
              <w:t>0.25</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r w:rsidRPr="00243353">
              <w:rPr>
                <w:sz w:val="20"/>
                <w:lang w:eastAsia="en-CA"/>
              </w:rPr>
              <w:t>(5.76)</w:t>
            </w:r>
          </w:p>
        </w:tc>
        <w:tc>
          <w:tcPr>
            <w:tcW w:w="1953" w:type="dxa"/>
            <w:noWrap/>
            <w:vAlign w:val="center"/>
          </w:tcPr>
          <w:p w:rsidR="00BA7929" w:rsidRPr="00243353" w:rsidRDefault="00BA7929" w:rsidP="00243353">
            <w:pPr>
              <w:jc w:val="center"/>
              <w:rPr>
                <w:sz w:val="20"/>
                <w:lang w:eastAsia="en-CA"/>
              </w:rPr>
            </w:pPr>
            <w:r w:rsidRPr="00243353">
              <w:rPr>
                <w:sz w:val="20"/>
                <w:lang w:eastAsia="en-CA"/>
              </w:rPr>
              <w:t>(3.28)</w:t>
            </w:r>
          </w:p>
        </w:tc>
        <w:tc>
          <w:tcPr>
            <w:tcW w:w="2139" w:type="dxa"/>
            <w:vAlign w:val="center"/>
          </w:tcPr>
          <w:p w:rsidR="00BA7929" w:rsidRPr="00243353" w:rsidRDefault="00BA7929" w:rsidP="00243353">
            <w:pPr>
              <w:jc w:val="center"/>
              <w:rPr>
                <w:sz w:val="20"/>
                <w:lang w:eastAsia="en-CA"/>
              </w:rPr>
            </w:pPr>
            <w:r w:rsidRPr="00243353">
              <w:rPr>
                <w:sz w:val="20"/>
                <w:lang w:eastAsia="en-CA"/>
              </w:rPr>
              <w:t>(6.15)</w:t>
            </w: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OPTION*BAN</w:t>
            </w: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-0.10</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(4.53)</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SIZE*BAN</w:t>
            </w: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-0.006</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(0.38)</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AMIHUD*BAN</w:t>
            </w: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-0.012</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(0.61)</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r w:rsidRPr="00243353">
              <w:rPr>
                <w:sz w:val="20"/>
                <w:lang w:eastAsia="en-CA"/>
              </w:rPr>
              <w:t>VOLAT*BAN</w:t>
            </w: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0.098</w:t>
            </w:r>
          </w:p>
        </w:tc>
        <w:tc>
          <w:tcPr>
            <w:tcW w:w="2139" w:type="dxa"/>
            <w:vAlign w:val="center"/>
          </w:tcPr>
          <w:p w:rsidR="00BA7929" w:rsidRPr="00243353" w:rsidRDefault="00BA7929" w:rsidP="00243353">
            <w:pPr>
              <w:jc w:val="center"/>
              <w:rPr>
                <w:sz w:val="20"/>
                <w:lang w:eastAsia="en-CA"/>
              </w:rPr>
            </w:pPr>
          </w:p>
        </w:tc>
      </w:tr>
      <w:tr w:rsidR="00BA7929" w:rsidRPr="00243353" w:rsidTr="00243353">
        <w:trPr>
          <w:trHeight w:val="255"/>
          <w:jc w:val="center"/>
        </w:trPr>
        <w:tc>
          <w:tcPr>
            <w:tcW w:w="2987" w:type="dxa"/>
            <w:noWrap/>
            <w:vAlign w:val="center"/>
          </w:tcPr>
          <w:p w:rsidR="00BA7929" w:rsidRPr="00243353" w:rsidRDefault="00BA7929" w:rsidP="00243353">
            <w:pPr>
              <w:rPr>
                <w:sz w:val="20"/>
                <w:lang w:eastAsia="en-CA"/>
              </w:rPr>
            </w:pPr>
          </w:p>
        </w:tc>
        <w:tc>
          <w:tcPr>
            <w:tcW w:w="2016" w:type="dxa"/>
            <w:noWrap/>
            <w:vAlign w:val="center"/>
          </w:tcPr>
          <w:p w:rsidR="00BA7929" w:rsidRPr="00243353" w:rsidRDefault="00BA7929" w:rsidP="00243353">
            <w:pPr>
              <w:jc w:val="center"/>
              <w:rPr>
                <w:sz w:val="20"/>
                <w:lang w:eastAsia="en-CA"/>
              </w:rPr>
            </w:pPr>
          </w:p>
        </w:tc>
        <w:tc>
          <w:tcPr>
            <w:tcW w:w="1953" w:type="dxa"/>
            <w:noWrap/>
            <w:vAlign w:val="center"/>
          </w:tcPr>
          <w:p w:rsidR="00BA7929" w:rsidRPr="00243353" w:rsidRDefault="00BA7929" w:rsidP="00243353">
            <w:pPr>
              <w:jc w:val="center"/>
              <w:rPr>
                <w:sz w:val="20"/>
                <w:lang w:eastAsia="en-CA"/>
              </w:rPr>
            </w:pPr>
            <w:r w:rsidRPr="00243353">
              <w:rPr>
                <w:sz w:val="20"/>
                <w:lang w:eastAsia="en-CA"/>
              </w:rPr>
              <w:t>(4.56)</w:t>
            </w:r>
          </w:p>
        </w:tc>
        <w:tc>
          <w:tcPr>
            <w:tcW w:w="2139" w:type="dxa"/>
            <w:vAlign w:val="center"/>
          </w:tcPr>
          <w:p w:rsidR="00BA7929" w:rsidRPr="00243353" w:rsidRDefault="00BA7929" w:rsidP="00243353">
            <w:pPr>
              <w:jc w:val="center"/>
              <w:rPr>
                <w:sz w:val="20"/>
                <w:lang w:eastAsia="en-CA"/>
              </w:rPr>
            </w:pPr>
          </w:p>
        </w:tc>
      </w:tr>
      <w:tr w:rsidR="00243353" w:rsidRPr="00243353" w:rsidTr="00243353">
        <w:trPr>
          <w:trHeight w:val="255"/>
          <w:jc w:val="center"/>
        </w:trPr>
        <w:tc>
          <w:tcPr>
            <w:tcW w:w="2987" w:type="dxa"/>
            <w:noWrap/>
            <w:vAlign w:val="center"/>
          </w:tcPr>
          <w:p w:rsidR="00243353" w:rsidRPr="00243353" w:rsidRDefault="00243353" w:rsidP="00243353">
            <w:pPr>
              <w:rPr>
                <w:sz w:val="20"/>
                <w:lang w:eastAsia="en-CA"/>
              </w:rPr>
            </w:pPr>
            <w:r w:rsidRPr="00243353">
              <w:rPr>
                <w:sz w:val="20"/>
                <w:lang w:eastAsia="en-CA"/>
              </w:rPr>
              <w:t>Observations</w:t>
            </w:r>
          </w:p>
        </w:tc>
        <w:tc>
          <w:tcPr>
            <w:tcW w:w="2016" w:type="dxa"/>
            <w:noWrap/>
            <w:vAlign w:val="center"/>
          </w:tcPr>
          <w:p w:rsidR="00243353" w:rsidRPr="00243353" w:rsidRDefault="00243353" w:rsidP="00243353">
            <w:pPr>
              <w:jc w:val="center"/>
              <w:rPr>
                <w:sz w:val="20"/>
                <w:lang w:eastAsia="en-CA"/>
              </w:rPr>
            </w:pPr>
            <w:r w:rsidRPr="00243353">
              <w:rPr>
                <w:sz w:val="20"/>
                <w:lang w:eastAsia="en-CA"/>
              </w:rPr>
              <w:t>4810</w:t>
            </w:r>
          </w:p>
        </w:tc>
        <w:tc>
          <w:tcPr>
            <w:tcW w:w="1953" w:type="dxa"/>
            <w:noWrap/>
            <w:vAlign w:val="center"/>
          </w:tcPr>
          <w:p w:rsidR="00243353" w:rsidRPr="00243353" w:rsidRDefault="00243353" w:rsidP="00243353">
            <w:pPr>
              <w:jc w:val="center"/>
              <w:rPr>
                <w:sz w:val="20"/>
                <w:lang w:eastAsia="en-CA"/>
              </w:rPr>
            </w:pPr>
            <w:r w:rsidRPr="00243353">
              <w:rPr>
                <w:sz w:val="20"/>
                <w:lang w:eastAsia="en-CA"/>
              </w:rPr>
              <w:t>4810</w:t>
            </w:r>
          </w:p>
        </w:tc>
        <w:tc>
          <w:tcPr>
            <w:tcW w:w="2139" w:type="dxa"/>
            <w:vAlign w:val="center"/>
          </w:tcPr>
          <w:p w:rsidR="00243353" w:rsidRPr="00243353" w:rsidRDefault="00243353" w:rsidP="00243353">
            <w:pPr>
              <w:jc w:val="center"/>
              <w:rPr>
                <w:sz w:val="20"/>
                <w:lang w:eastAsia="en-CA"/>
              </w:rPr>
            </w:pPr>
            <w:r w:rsidRPr="00243353">
              <w:rPr>
                <w:sz w:val="20"/>
                <w:lang w:eastAsia="en-CA"/>
              </w:rPr>
              <w:t>676</w:t>
            </w:r>
          </w:p>
        </w:tc>
      </w:tr>
      <w:tr w:rsidR="00BA7929" w:rsidRPr="00243353" w:rsidTr="00243353">
        <w:trPr>
          <w:trHeight w:val="255"/>
          <w:jc w:val="center"/>
        </w:trPr>
        <w:tc>
          <w:tcPr>
            <w:tcW w:w="2987" w:type="dxa"/>
            <w:tcBorders>
              <w:bottom w:val="single" w:sz="4" w:space="0" w:color="auto"/>
            </w:tcBorders>
            <w:noWrap/>
            <w:vAlign w:val="center"/>
          </w:tcPr>
          <w:p w:rsidR="00BA7929" w:rsidRPr="00243353" w:rsidRDefault="00BA7929" w:rsidP="00243353">
            <w:pPr>
              <w:rPr>
                <w:sz w:val="20"/>
                <w:vertAlign w:val="superscript"/>
                <w:lang w:eastAsia="en-CA"/>
              </w:rPr>
            </w:pPr>
            <w:r w:rsidRPr="00243353">
              <w:rPr>
                <w:sz w:val="20"/>
                <w:lang w:eastAsia="en-CA"/>
              </w:rPr>
              <w:t>R</w:t>
            </w:r>
            <w:r w:rsidRPr="00243353">
              <w:rPr>
                <w:sz w:val="20"/>
                <w:vertAlign w:val="superscript"/>
                <w:lang w:eastAsia="en-CA"/>
              </w:rPr>
              <w:t>2</w:t>
            </w:r>
          </w:p>
        </w:tc>
        <w:tc>
          <w:tcPr>
            <w:tcW w:w="2016" w:type="dxa"/>
            <w:tcBorders>
              <w:bottom w:val="single" w:sz="4" w:space="0" w:color="auto"/>
            </w:tcBorders>
            <w:noWrap/>
            <w:vAlign w:val="center"/>
          </w:tcPr>
          <w:p w:rsidR="00BA7929" w:rsidRPr="00243353" w:rsidRDefault="00BA7929" w:rsidP="00243353">
            <w:pPr>
              <w:jc w:val="center"/>
              <w:rPr>
                <w:sz w:val="20"/>
                <w:lang w:eastAsia="en-CA"/>
              </w:rPr>
            </w:pPr>
            <w:r w:rsidRPr="00243353">
              <w:rPr>
                <w:sz w:val="20"/>
                <w:lang w:eastAsia="en-CA"/>
              </w:rPr>
              <w:t>0.03</w:t>
            </w:r>
          </w:p>
        </w:tc>
        <w:tc>
          <w:tcPr>
            <w:tcW w:w="1953" w:type="dxa"/>
            <w:tcBorders>
              <w:bottom w:val="single" w:sz="4" w:space="0" w:color="auto"/>
            </w:tcBorders>
            <w:noWrap/>
            <w:vAlign w:val="center"/>
          </w:tcPr>
          <w:p w:rsidR="00BA7929" w:rsidRPr="00243353" w:rsidRDefault="00BA7929" w:rsidP="00243353">
            <w:pPr>
              <w:jc w:val="center"/>
              <w:rPr>
                <w:sz w:val="20"/>
                <w:lang w:eastAsia="en-CA"/>
              </w:rPr>
            </w:pPr>
            <w:r w:rsidRPr="00243353">
              <w:rPr>
                <w:sz w:val="20"/>
                <w:lang w:eastAsia="en-CA"/>
              </w:rPr>
              <w:t>0.04</w:t>
            </w:r>
          </w:p>
        </w:tc>
        <w:tc>
          <w:tcPr>
            <w:tcW w:w="2139" w:type="dxa"/>
            <w:tcBorders>
              <w:bottom w:val="single" w:sz="4" w:space="0" w:color="auto"/>
            </w:tcBorders>
            <w:vAlign w:val="center"/>
          </w:tcPr>
          <w:p w:rsidR="00BA7929" w:rsidRPr="00243353" w:rsidRDefault="00BA7929" w:rsidP="00243353">
            <w:pPr>
              <w:jc w:val="center"/>
              <w:rPr>
                <w:sz w:val="20"/>
                <w:lang w:eastAsia="en-CA"/>
              </w:rPr>
            </w:pPr>
            <w:r w:rsidRPr="00243353">
              <w:rPr>
                <w:sz w:val="20"/>
                <w:lang w:eastAsia="en-CA"/>
              </w:rPr>
              <w:t>0.06</w:t>
            </w:r>
          </w:p>
        </w:tc>
      </w:tr>
      <w:tr w:rsidR="00BA7929" w:rsidRPr="00243353" w:rsidTr="00243353">
        <w:trPr>
          <w:trHeight w:val="255"/>
          <w:jc w:val="center"/>
        </w:trPr>
        <w:tc>
          <w:tcPr>
            <w:tcW w:w="2987" w:type="dxa"/>
            <w:tcBorders>
              <w:top w:val="single" w:sz="4" w:space="0" w:color="auto"/>
            </w:tcBorders>
            <w:noWrap/>
            <w:vAlign w:val="bottom"/>
          </w:tcPr>
          <w:p w:rsidR="00BA7929" w:rsidRPr="00243353" w:rsidRDefault="00BA7929" w:rsidP="00994B77">
            <w:pPr>
              <w:rPr>
                <w:sz w:val="20"/>
                <w:lang w:eastAsia="en-CA"/>
              </w:rPr>
            </w:pPr>
          </w:p>
        </w:tc>
        <w:tc>
          <w:tcPr>
            <w:tcW w:w="2016" w:type="dxa"/>
            <w:tcBorders>
              <w:top w:val="single" w:sz="4" w:space="0" w:color="auto"/>
            </w:tcBorders>
            <w:noWrap/>
            <w:vAlign w:val="center"/>
          </w:tcPr>
          <w:p w:rsidR="00BA7929" w:rsidRPr="00243353" w:rsidRDefault="00BA7929" w:rsidP="004817B9">
            <w:pPr>
              <w:jc w:val="center"/>
              <w:rPr>
                <w:sz w:val="20"/>
                <w:lang w:eastAsia="en-CA"/>
              </w:rPr>
            </w:pPr>
          </w:p>
        </w:tc>
        <w:tc>
          <w:tcPr>
            <w:tcW w:w="1953" w:type="dxa"/>
            <w:tcBorders>
              <w:top w:val="single" w:sz="4" w:space="0" w:color="auto"/>
            </w:tcBorders>
            <w:noWrap/>
            <w:vAlign w:val="center"/>
          </w:tcPr>
          <w:p w:rsidR="00BA7929" w:rsidRPr="00243353" w:rsidRDefault="00BA7929" w:rsidP="004817B9">
            <w:pPr>
              <w:jc w:val="center"/>
              <w:rPr>
                <w:sz w:val="20"/>
                <w:lang w:eastAsia="en-CA"/>
              </w:rPr>
            </w:pPr>
          </w:p>
        </w:tc>
        <w:tc>
          <w:tcPr>
            <w:tcW w:w="2139" w:type="dxa"/>
            <w:tcBorders>
              <w:top w:val="single" w:sz="4" w:space="0" w:color="auto"/>
            </w:tcBorders>
          </w:tcPr>
          <w:p w:rsidR="00BA7929" w:rsidRPr="00243353" w:rsidRDefault="00BA7929" w:rsidP="004817B9">
            <w:pPr>
              <w:jc w:val="center"/>
              <w:rPr>
                <w:sz w:val="20"/>
                <w:lang w:eastAsia="en-CA"/>
              </w:rPr>
            </w:pPr>
          </w:p>
        </w:tc>
      </w:tr>
    </w:tbl>
    <w:p w:rsidR="00BA7929" w:rsidRPr="00706893" w:rsidRDefault="00BA7929" w:rsidP="00F76ACC">
      <w:pPr>
        <w:pStyle w:val="Reference"/>
        <w:spacing w:before="0" w:after="0" w:line="240" w:lineRule="auto"/>
        <w:rPr>
          <w:b/>
          <w:sz w:val="32"/>
          <w:szCs w:val="32"/>
        </w:rPr>
      </w:pPr>
    </w:p>
    <w:p w:rsidR="00BA7929" w:rsidRPr="00B37CE3" w:rsidRDefault="00BA7929" w:rsidP="00B37CE3">
      <w:pPr>
        <w:rPr>
          <w:b/>
          <w:szCs w:val="24"/>
        </w:rPr>
      </w:pPr>
      <w:r w:rsidRPr="00706893">
        <w:rPr>
          <w:b/>
          <w:sz w:val="32"/>
          <w:szCs w:val="32"/>
        </w:rPr>
        <w:br w:type="page"/>
      </w:r>
      <w:r w:rsidRPr="00B37CE3">
        <w:rPr>
          <w:b/>
          <w:szCs w:val="24"/>
        </w:rPr>
        <w:t>Figure 1</w:t>
      </w:r>
    </w:p>
    <w:p w:rsidR="00BA7929" w:rsidRPr="00B37CE3" w:rsidRDefault="00BA7929" w:rsidP="00F76ACC">
      <w:pPr>
        <w:pStyle w:val="Reference"/>
        <w:spacing w:before="0" w:after="0" w:line="240" w:lineRule="auto"/>
        <w:rPr>
          <w:b/>
          <w:szCs w:val="24"/>
        </w:rPr>
      </w:pPr>
      <w:r w:rsidRPr="00B37CE3">
        <w:rPr>
          <w:b/>
          <w:szCs w:val="24"/>
        </w:rPr>
        <w:t>Cumulative Index Returns</w:t>
      </w:r>
    </w:p>
    <w:p w:rsidR="00BA7929" w:rsidRPr="00706893" w:rsidRDefault="00BA7929" w:rsidP="00F76ACC">
      <w:pPr>
        <w:pStyle w:val="Reference"/>
        <w:spacing w:before="0" w:after="0" w:line="240" w:lineRule="auto"/>
        <w:ind w:left="0" w:firstLine="0"/>
        <w:rPr>
          <w:sz w:val="20"/>
        </w:rPr>
      </w:pPr>
    </w:p>
    <w:p w:rsidR="00BA7929" w:rsidRPr="00706893" w:rsidDel="002D0FE3" w:rsidRDefault="00B37CE3" w:rsidP="003F04B1">
      <w:pPr>
        <w:jc w:val="both"/>
        <w:rPr>
          <w:sz w:val="20"/>
        </w:rPr>
      </w:pPr>
      <w:r>
        <w:rPr>
          <w:sz w:val="20"/>
        </w:rPr>
        <w:t>F</w:t>
      </w:r>
      <w:r w:rsidR="00BA7929" w:rsidRPr="00706893">
        <w:rPr>
          <w:sz w:val="20"/>
        </w:rPr>
        <w:t xml:space="preserve">igure </w:t>
      </w:r>
      <w:r>
        <w:rPr>
          <w:sz w:val="20"/>
        </w:rPr>
        <w:t>1 summarizes</w:t>
      </w:r>
      <w:r w:rsidR="00BA7929" w:rsidRPr="00706893">
        <w:rPr>
          <w:sz w:val="20"/>
        </w:rPr>
        <w:t xml:space="preserve"> cumulative index returns to NYSE, AMEX and NASDAQ stocks sorted by inclusion on the SEC short-sale ban list between September 19th and </w:t>
      </w:r>
      <w:smartTag w:uri="urn:schemas-microsoft-com:office:smarttags" w:element="date">
        <w:smartTagPr>
          <w:attr w:name="Month" w:val="10"/>
          <w:attr w:name="Day" w:val="8"/>
          <w:attr w:name="Year" w:val="2008"/>
        </w:smartTagPr>
        <w:r w:rsidR="00BA7929" w:rsidRPr="00706893">
          <w:rPr>
            <w:sz w:val="20"/>
          </w:rPr>
          <w:t>October 8th, 2008</w:t>
        </w:r>
      </w:smartTag>
      <w:r w:rsidR="00BA7929" w:rsidRPr="00706893">
        <w:rPr>
          <w:sz w:val="20"/>
        </w:rPr>
        <w:t xml:space="preserve">.  </w:t>
      </w:r>
      <w:r w:rsidR="00E82F17">
        <w:rPr>
          <w:sz w:val="20"/>
        </w:rPr>
        <w:t>The figure displays</w:t>
      </w:r>
      <w:r w:rsidR="00BA7929" w:rsidRPr="00706893">
        <w:rPr>
          <w:sz w:val="20"/>
        </w:rPr>
        <w:t xml:space="preserve"> value-weighted cumulative index returns for the banned and not-banned </w:t>
      </w:r>
      <w:r w:rsidR="0021079E">
        <w:rPr>
          <w:sz w:val="20"/>
        </w:rPr>
        <w:t>sub-sample</w:t>
      </w:r>
      <w:r w:rsidR="00BA7929" w:rsidRPr="00706893">
        <w:rPr>
          <w:sz w:val="20"/>
        </w:rPr>
        <w:t xml:space="preserve">s.  </w:t>
      </w:r>
      <w:r w:rsidR="00BB2616">
        <w:rPr>
          <w:sz w:val="20"/>
        </w:rPr>
        <w:t>We also report</w:t>
      </w:r>
      <w:r w:rsidR="00BA7929" w:rsidRPr="00706893">
        <w:rPr>
          <w:sz w:val="20"/>
        </w:rPr>
        <w:t xml:space="preserve"> cumulative banned stock index returns weighted by short interest on </w:t>
      </w:r>
      <w:smartTag w:uri="urn:schemas-microsoft-com:office:smarttags" w:element="date">
        <w:smartTagPr>
          <w:attr w:name="Month" w:val="9"/>
          <w:attr w:name="Day" w:val="15"/>
          <w:attr w:name="Year" w:val="2008"/>
        </w:smartTagPr>
        <w:r w:rsidR="00BA7929" w:rsidRPr="00706893">
          <w:rPr>
            <w:sz w:val="20"/>
          </w:rPr>
          <w:t>September 15th, 2008</w:t>
        </w:r>
      </w:smartTag>
      <w:r w:rsidR="00BA7929" w:rsidRPr="00706893">
        <w:rPr>
          <w:sz w:val="20"/>
        </w:rPr>
        <w:t xml:space="preserve"> and by TARP funds received in 2008 as a fraction of market capitalization on </w:t>
      </w:r>
      <w:smartTag w:uri="urn:schemas-microsoft-com:office:smarttags" w:element="date">
        <w:smartTagPr>
          <w:attr w:name="Month" w:val="10"/>
          <w:attr w:name="Day" w:val="28"/>
          <w:attr w:name="Year" w:val="2008"/>
        </w:smartTagPr>
        <w:r w:rsidR="00BA7929" w:rsidRPr="00706893">
          <w:rPr>
            <w:sz w:val="20"/>
          </w:rPr>
          <w:t>October 28, 2008</w:t>
        </w:r>
      </w:smartTag>
      <w:r w:rsidR="00BA7929" w:rsidRPr="00706893">
        <w:rPr>
          <w:sz w:val="20"/>
        </w:rPr>
        <w:t xml:space="preserve">.  </w:t>
      </w:r>
      <w:r w:rsidR="00B30F16">
        <w:rPr>
          <w:sz w:val="20"/>
        </w:rPr>
        <w:t>We calculate</w:t>
      </w:r>
      <w:r w:rsidR="00BA7929" w:rsidRPr="00706893">
        <w:rPr>
          <w:sz w:val="20"/>
        </w:rPr>
        <w:t xml:space="preserve"> all returns as dividend- and split-adjusted log price relatives.  The short-sale ban period is shaded.  </w:t>
      </w:r>
    </w:p>
    <w:p w:rsidR="00BA7929" w:rsidRPr="00706893" w:rsidRDefault="00BA7929" w:rsidP="002D0FE3">
      <w:pPr>
        <w:rPr>
          <w:lang w:eastAsia="en-CA"/>
        </w:rPr>
      </w:pPr>
    </w:p>
    <w:p w:rsidR="00C364DD" w:rsidRPr="00C364DD" w:rsidRDefault="00C364DD" w:rsidP="00995D34">
      <w:pPr>
        <w:rPr>
          <w:lang w:eastAsia="en-CA"/>
        </w:rPr>
      </w:pPr>
    </w:p>
    <w:p w:rsidR="00BA7929" w:rsidRPr="00706893" w:rsidRDefault="00AC7EB4" w:rsidP="00995D34">
      <w:pPr>
        <w:rPr>
          <w:b/>
          <w:lang w:eastAsia="en-CA"/>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4533900</wp:posOffset>
                </wp:positionH>
                <wp:positionV relativeFrom="paragraph">
                  <wp:posOffset>189230</wp:posOffset>
                </wp:positionV>
                <wp:extent cx="172720" cy="1866900"/>
                <wp:effectExtent l="0" t="0" r="1778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66900"/>
                        </a:xfrm>
                        <a:prstGeom prst="rect">
                          <a:avLst/>
                        </a:prstGeom>
                        <a:solidFill>
                          <a:srgbClr val="FFFF00">
                            <a:alpha val="2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7pt;margin-top:14.9pt;width:13.6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" fillcolor="yellow">
                <v:fill opacity="16448f"/>
              </v:rect>
            </w:pict>
          </mc:Fallback>
        </mc:AlternateContent>
      </w:r>
      <w:r w:rsidR="006F0051">
        <w:rPr>
          <w:noProof/>
          <w:lang w:val="en-US"/>
        </w:rPr>
        <w:drawing>
          <wp:inline distT="0" distB="0" distL="0" distR="0" wp14:anchorId="7064D19D" wp14:editId="66CA6579">
            <wp:extent cx="5953125" cy="3124200"/>
            <wp:effectExtent l="0" t="0" r="9525" b="19050"/>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7929" w:rsidRPr="00706893" w:rsidRDefault="00BA7929" w:rsidP="002F2F3D">
      <w:pPr>
        <w:pStyle w:val="Reference"/>
        <w:spacing w:line="240" w:lineRule="auto"/>
        <w:ind w:left="0" w:hanging="11"/>
        <w:rPr>
          <w:b/>
          <w:sz w:val="20"/>
          <w:lang w:eastAsia="en-CA"/>
        </w:rPr>
      </w:pPr>
    </w:p>
    <w:p w:rsidR="00E82F17" w:rsidRDefault="00E82F17">
      <w:pPr>
        <w:rPr>
          <w:rFonts w:eastAsia="SimSun"/>
          <w:b/>
          <w:sz w:val="32"/>
          <w:szCs w:val="32"/>
        </w:rPr>
      </w:pPr>
      <w:r>
        <w:rPr>
          <w:b/>
          <w:sz w:val="32"/>
          <w:szCs w:val="32"/>
        </w:rPr>
        <w:br w:type="page"/>
      </w:r>
    </w:p>
    <w:p w:rsidR="00BA7929" w:rsidRPr="002A65CB" w:rsidRDefault="00BA7929" w:rsidP="002A65CB">
      <w:pPr>
        <w:pStyle w:val="Reference"/>
        <w:spacing w:before="0" w:after="0" w:line="240" w:lineRule="auto"/>
        <w:rPr>
          <w:b/>
          <w:szCs w:val="24"/>
        </w:rPr>
      </w:pPr>
      <w:r w:rsidRPr="002A65CB">
        <w:rPr>
          <w:b/>
          <w:szCs w:val="24"/>
        </w:rPr>
        <w:t>Figure 2</w:t>
      </w:r>
    </w:p>
    <w:p w:rsidR="00BA7929" w:rsidRPr="002A65CB" w:rsidRDefault="00BA7929" w:rsidP="00F76ACC">
      <w:pPr>
        <w:pStyle w:val="Reference"/>
        <w:spacing w:before="0" w:after="0" w:line="240" w:lineRule="auto"/>
        <w:rPr>
          <w:b/>
          <w:szCs w:val="24"/>
        </w:rPr>
      </w:pPr>
      <w:r w:rsidRPr="002A65CB">
        <w:rPr>
          <w:b/>
          <w:szCs w:val="24"/>
        </w:rPr>
        <w:t>Mean Short Interest</w:t>
      </w:r>
    </w:p>
    <w:p w:rsidR="00BA7929" w:rsidRPr="00706893" w:rsidRDefault="00BA7929" w:rsidP="00F76ACC">
      <w:pPr>
        <w:pStyle w:val="Reference"/>
        <w:spacing w:before="0" w:after="0" w:line="240" w:lineRule="auto"/>
        <w:rPr>
          <w:b/>
          <w:sz w:val="20"/>
        </w:rPr>
      </w:pPr>
    </w:p>
    <w:p w:rsidR="00BA7929" w:rsidRPr="00706893" w:rsidRDefault="009A2F25" w:rsidP="003F04B1">
      <w:pPr>
        <w:jc w:val="both"/>
      </w:pPr>
      <w:r>
        <w:rPr>
          <w:sz w:val="20"/>
        </w:rPr>
        <w:t>Fi</w:t>
      </w:r>
      <w:r w:rsidRPr="00706893">
        <w:rPr>
          <w:sz w:val="20"/>
        </w:rPr>
        <w:t>gure</w:t>
      </w:r>
      <w:r w:rsidR="00BA7929" w:rsidRPr="00706893">
        <w:rPr>
          <w:sz w:val="20"/>
        </w:rPr>
        <w:t xml:space="preserve"> </w:t>
      </w:r>
      <w:r>
        <w:rPr>
          <w:sz w:val="20"/>
        </w:rPr>
        <w:t xml:space="preserve">2 </w:t>
      </w:r>
      <w:r w:rsidR="00BA7929" w:rsidRPr="00706893">
        <w:rPr>
          <w:sz w:val="20"/>
        </w:rPr>
        <w:t xml:space="preserve">plots mean short interest for </w:t>
      </w:r>
      <w:r>
        <w:rPr>
          <w:sz w:val="20"/>
        </w:rPr>
        <w:t xml:space="preserve">the </w:t>
      </w:r>
      <w:r w:rsidR="00BA7929" w:rsidRPr="00706893">
        <w:rPr>
          <w:sz w:val="20"/>
        </w:rPr>
        <w:t>no</w:t>
      </w:r>
      <w:r w:rsidR="00AD6B13">
        <w:rPr>
          <w:sz w:val="20"/>
        </w:rPr>
        <w:t>t</w:t>
      </w:r>
      <w:r>
        <w:rPr>
          <w:sz w:val="20"/>
        </w:rPr>
        <w:t>-banned and banned stock sub-samples</w:t>
      </w:r>
      <w:r w:rsidR="00BA7929" w:rsidRPr="00706893">
        <w:rPr>
          <w:sz w:val="20"/>
        </w:rPr>
        <w:t xml:space="preserve"> between January 15th and </w:t>
      </w:r>
      <w:smartTag w:uri="urn:schemas-microsoft-com:office:smarttags" w:element="date">
        <w:smartTagPr>
          <w:attr w:name="Month" w:val="12"/>
          <w:attr w:name="Day" w:val="31"/>
          <w:attr w:name="Year" w:val="2008"/>
        </w:smartTagPr>
        <w:r w:rsidR="00BA7929" w:rsidRPr="00706893">
          <w:rPr>
            <w:sz w:val="20"/>
          </w:rPr>
          <w:t>December 31st, 2008</w:t>
        </w:r>
      </w:smartTag>
      <w:r w:rsidR="00BA7929" w:rsidRPr="00706893">
        <w:rPr>
          <w:sz w:val="20"/>
        </w:rPr>
        <w:t xml:space="preserve">, where short interest is defined as the percentage of float sold short and not repurchased.  </w:t>
      </w:r>
      <w:r w:rsidR="002A65CB">
        <w:rPr>
          <w:sz w:val="20"/>
        </w:rPr>
        <w:t xml:space="preserve">Value and </w:t>
      </w:r>
      <w:r w:rsidR="00BA7929" w:rsidRPr="00706893">
        <w:rPr>
          <w:sz w:val="20"/>
        </w:rPr>
        <w:t xml:space="preserve">short interest weighted </w:t>
      </w:r>
      <w:r w:rsidR="002A65CB">
        <w:rPr>
          <w:sz w:val="20"/>
        </w:rPr>
        <w:t xml:space="preserve">means are reported, </w:t>
      </w:r>
      <w:r w:rsidR="00BA7929" w:rsidRPr="00706893">
        <w:rPr>
          <w:sz w:val="20"/>
        </w:rPr>
        <w:t xml:space="preserve">where the short interest weight is the percentage of float sold short.  Stocks with missing float data in the Short Squeeze database are excluded. </w:t>
      </w:r>
    </w:p>
    <w:p w:rsidR="00BA7929" w:rsidRPr="00706893" w:rsidRDefault="00BA7929" w:rsidP="00F76ACC">
      <w:pPr>
        <w:pStyle w:val="Reference"/>
        <w:spacing w:before="0" w:after="0" w:line="240" w:lineRule="auto"/>
        <w:rPr>
          <w:b/>
          <w:sz w:val="20"/>
        </w:rPr>
      </w:pPr>
    </w:p>
    <w:p w:rsidR="00BA7929" w:rsidRPr="00706893" w:rsidRDefault="00BA7929" w:rsidP="00F76ACC">
      <w:pPr>
        <w:pStyle w:val="Reference"/>
        <w:spacing w:before="0" w:after="0" w:line="240" w:lineRule="auto"/>
        <w:rPr>
          <w:b/>
          <w:sz w:val="20"/>
        </w:rPr>
      </w:pPr>
    </w:p>
    <w:p w:rsidR="002A65CB" w:rsidRDefault="002A65CB">
      <w:pPr>
        <w:rPr>
          <w:rFonts w:eastAsia="SimSun"/>
          <w:b/>
          <w:sz w:val="32"/>
          <w:szCs w:val="32"/>
        </w:rPr>
      </w:pPr>
      <w:r>
        <w:rPr>
          <w:noProof/>
          <w:lang w:val="en-US"/>
        </w:rPr>
        <w:drawing>
          <wp:inline distT="0" distB="0" distL="0" distR="0" wp14:anchorId="7DA3D375" wp14:editId="10F41D0D">
            <wp:extent cx="5895975" cy="30861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65CB" w:rsidRDefault="002A65CB">
      <w:pPr>
        <w:rPr>
          <w:rFonts w:eastAsia="SimSun"/>
          <w:b/>
          <w:sz w:val="32"/>
          <w:szCs w:val="32"/>
        </w:rPr>
      </w:pPr>
      <w:r>
        <w:rPr>
          <w:b/>
          <w:sz w:val="32"/>
          <w:szCs w:val="32"/>
        </w:rPr>
        <w:br w:type="page"/>
      </w:r>
    </w:p>
    <w:p w:rsidR="00BA7929" w:rsidRPr="002814BD" w:rsidRDefault="00BA7929" w:rsidP="002814BD">
      <w:pPr>
        <w:pStyle w:val="Reference"/>
        <w:spacing w:before="0" w:after="0" w:line="240" w:lineRule="auto"/>
        <w:ind w:left="0" w:firstLine="0"/>
        <w:rPr>
          <w:b/>
          <w:szCs w:val="24"/>
        </w:rPr>
      </w:pPr>
      <w:r w:rsidRPr="002814BD">
        <w:rPr>
          <w:b/>
          <w:szCs w:val="24"/>
        </w:rPr>
        <w:t>Figure 3</w:t>
      </w:r>
    </w:p>
    <w:p w:rsidR="00BA7929" w:rsidRPr="002814BD" w:rsidRDefault="00BA7929" w:rsidP="00F76ACC">
      <w:pPr>
        <w:pStyle w:val="Reference"/>
        <w:spacing w:before="0" w:after="0" w:line="240" w:lineRule="auto"/>
        <w:rPr>
          <w:b/>
          <w:szCs w:val="24"/>
        </w:rPr>
      </w:pPr>
      <w:r w:rsidRPr="002814BD">
        <w:rPr>
          <w:b/>
          <w:szCs w:val="24"/>
        </w:rPr>
        <w:t>Actual and Estimated Cumulative Banned Index Returns in the Pre-Ban Period</w:t>
      </w:r>
    </w:p>
    <w:p w:rsidR="00BA7929" w:rsidRPr="00706893" w:rsidRDefault="00BA7929" w:rsidP="00F76ACC">
      <w:pPr>
        <w:pStyle w:val="Reference"/>
        <w:spacing w:before="0" w:after="0" w:line="240" w:lineRule="auto"/>
      </w:pPr>
    </w:p>
    <w:p w:rsidR="00BA7929" w:rsidRPr="00706893" w:rsidRDefault="002814BD" w:rsidP="003F04B1">
      <w:pPr>
        <w:jc w:val="both"/>
        <w:rPr>
          <w:sz w:val="20"/>
        </w:rPr>
      </w:pPr>
      <w:r>
        <w:rPr>
          <w:sz w:val="20"/>
        </w:rPr>
        <w:t>F</w:t>
      </w:r>
      <w:r w:rsidR="00BA7929" w:rsidRPr="00706893">
        <w:rPr>
          <w:sz w:val="20"/>
        </w:rPr>
        <w:t xml:space="preserve">igure </w:t>
      </w:r>
      <w:r>
        <w:rPr>
          <w:sz w:val="20"/>
        </w:rPr>
        <w:t xml:space="preserve">3 </w:t>
      </w:r>
      <w:r w:rsidR="00BA7929" w:rsidRPr="00706893">
        <w:rPr>
          <w:sz w:val="20"/>
        </w:rPr>
        <w:t>plots value-weighted cumulative indices of actual returns and corresponding returns estimated from the factor analytic model, in the pre-ban period, for the banned stock sub-sample.  Estimated returns are computed using the six return factor model with three stock characteristic factors presented in Equation 2.</w:t>
      </w:r>
    </w:p>
    <w:p w:rsidR="00BA7929" w:rsidRPr="00706893" w:rsidRDefault="00BA7929" w:rsidP="00F76ACC">
      <w:pPr>
        <w:pStyle w:val="Reference"/>
        <w:spacing w:before="0" w:after="0" w:line="240" w:lineRule="auto"/>
      </w:pPr>
    </w:p>
    <w:p w:rsidR="00BA7929" w:rsidRPr="00706893" w:rsidRDefault="00BA7929" w:rsidP="00F76ACC">
      <w:pPr>
        <w:pStyle w:val="Reference"/>
        <w:spacing w:before="0" w:after="0" w:line="240" w:lineRule="auto"/>
      </w:pPr>
    </w:p>
    <w:p w:rsidR="00BA7929" w:rsidRPr="00706893" w:rsidRDefault="006F0051" w:rsidP="00F76ACC">
      <w:pPr>
        <w:pStyle w:val="Reference"/>
        <w:spacing w:before="0" w:after="0" w:line="240" w:lineRule="auto"/>
        <w:ind w:left="0" w:firstLine="0"/>
        <w:rPr>
          <w:lang w:eastAsia="en-CA"/>
        </w:rPr>
      </w:pPr>
      <w:r>
        <w:rPr>
          <w:noProof/>
          <w:lang w:val="en-US"/>
        </w:rPr>
        <w:drawing>
          <wp:inline distT="0" distB="0" distL="0" distR="0" wp14:anchorId="000B44C8" wp14:editId="4B5A63F4">
            <wp:extent cx="5950665" cy="3281026"/>
            <wp:effectExtent l="0" t="0" r="12065" b="15240"/>
            <wp:docPr id="9"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7929" w:rsidRPr="00036BD5" w:rsidRDefault="00BA7929" w:rsidP="00036BD5">
      <w:pPr>
        <w:pStyle w:val="Reference"/>
        <w:spacing w:before="0" w:after="0" w:line="240" w:lineRule="auto"/>
        <w:rPr>
          <w:b/>
          <w:szCs w:val="24"/>
        </w:rPr>
      </w:pPr>
      <w:r w:rsidRPr="00706893">
        <w:rPr>
          <w:lang w:eastAsia="en-CA"/>
        </w:rPr>
        <w:br w:type="page"/>
      </w:r>
      <w:r w:rsidRPr="00036BD5">
        <w:rPr>
          <w:b/>
          <w:szCs w:val="24"/>
        </w:rPr>
        <w:t xml:space="preserve">Figure </w:t>
      </w:r>
      <w:r w:rsidR="00036BD5">
        <w:rPr>
          <w:b/>
          <w:szCs w:val="24"/>
        </w:rPr>
        <w:t>4</w:t>
      </w:r>
    </w:p>
    <w:p w:rsidR="00BA7929" w:rsidRPr="00036BD5" w:rsidRDefault="00036BD5" w:rsidP="00F76ACC">
      <w:pPr>
        <w:pStyle w:val="Reference"/>
        <w:spacing w:before="0" w:after="0" w:line="240" w:lineRule="auto"/>
        <w:rPr>
          <w:b/>
          <w:szCs w:val="24"/>
        </w:rPr>
      </w:pPr>
      <w:r>
        <w:rPr>
          <w:b/>
          <w:szCs w:val="24"/>
        </w:rPr>
        <w:t>Actual and Counterfactual Cumulative Returns</w:t>
      </w:r>
    </w:p>
    <w:p w:rsidR="00BA7929" w:rsidRPr="00706893" w:rsidRDefault="00BA7929" w:rsidP="00F76ACC">
      <w:pPr>
        <w:pStyle w:val="Reference"/>
        <w:spacing w:before="0" w:after="0" w:line="240" w:lineRule="auto"/>
        <w:rPr>
          <w:b/>
          <w:sz w:val="20"/>
        </w:rPr>
      </w:pPr>
    </w:p>
    <w:p w:rsidR="00BA7929" w:rsidRPr="00706893" w:rsidRDefault="00036BD5" w:rsidP="003F04B1">
      <w:pPr>
        <w:jc w:val="both"/>
        <w:rPr>
          <w:sz w:val="20"/>
        </w:rPr>
      </w:pPr>
      <w:r>
        <w:rPr>
          <w:sz w:val="20"/>
        </w:rPr>
        <w:t>F</w:t>
      </w:r>
      <w:r w:rsidR="00BA7929" w:rsidRPr="00706893">
        <w:rPr>
          <w:sz w:val="20"/>
        </w:rPr>
        <w:t xml:space="preserve">igure </w:t>
      </w:r>
      <w:r>
        <w:rPr>
          <w:sz w:val="20"/>
        </w:rPr>
        <w:t>4 plots value and short interest-</w:t>
      </w:r>
      <w:r w:rsidR="00BA7929" w:rsidRPr="00706893">
        <w:rPr>
          <w:sz w:val="20"/>
        </w:rPr>
        <w:t xml:space="preserve">weighted cumulative indices of actual returns and corresponding </w:t>
      </w:r>
      <w:r>
        <w:rPr>
          <w:sz w:val="20"/>
        </w:rPr>
        <w:t xml:space="preserve">counterfactual </w:t>
      </w:r>
      <w:r w:rsidR="00BA7929" w:rsidRPr="00706893">
        <w:rPr>
          <w:sz w:val="20"/>
        </w:rPr>
        <w:t xml:space="preserve">returns estimated from the factor analytic model, for the banned stock sub-sample over </w:t>
      </w:r>
      <w:r>
        <w:rPr>
          <w:sz w:val="20"/>
        </w:rPr>
        <w:t>the</w:t>
      </w:r>
      <w:r w:rsidR="00BA7929" w:rsidRPr="00706893">
        <w:rPr>
          <w:sz w:val="20"/>
        </w:rPr>
        <w:t xml:space="preserve"> period 14 trading </w:t>
      </w:r>
      <w:r>
        <w:rPr>
          <w:sz w:val="20"/>
        </w:rPr>
        <w:t xml:space="preserve">days </w:t>
      </w:r>
      <w:r w:rsidR="00BA7929" w:rsidRPr="00706893">
        <w:rPr>
          <w:sz w:val="20"/>
        </w:rPr>
        <w:t xml:space="preserve">before </w:t>
      </w:r>
      <w:r>
        <w:rPr>
          <w:sz w:val="20"/>
        </w:rPr>
        <w:t>after the</w:t>
      </w:r>
      <w:r w:rsidR="00BA7929" w:rsidRPr="00706893">
        <w:rPr>
          <w:sz w:val="20"/>
        </w:rPr>
        <w:t xml:space="preserve"> short-sale ban and.  </w:t>
      </w:r>
      <w:r>
        <w:rPr>
          <w:sz w:val="20"/>
        </w:rPr>
        <w:t xml:space="preserve">Panel C plots the difference in cumulative actual and </w:t>
      </w:r>
      <w:r w:rsidR="005B1EDD">
        <w:rPr>
          <w:sz w:val="20"/>
        </w:rPr>
        <w:t xml:space="preserve">estimated </w:t>
      </w:r>
      <w:r>
        <w:rPr>
          <w:sz w:val="20"/>
        </w:rPr>
        <w:t xml:space="preserve">counterfactual returns for the short interest-weighted index, segmented by option availability.  </w:t>
      </w:r>
      <w:r w:rsidR="00BA7929" w:rsidRPr="00706893">
        <w:rPr>
          <w:sz w:val="20"/>
        </w:rPr>
        <w:t>The period of the ban is shaded</w:t>
      </w:r>
      <w:r w:rsidR="00E23AB6">
        <w:rPr>
          <w:sz w:val="20"/>
        </w:rPr>
        <w:t xml:space="preserve">.  </w:t>
      </w:r>
      <w:r w:rsidR="00BA7929" w:rsidRPr="00706893">
        <w:rPr>
          <w:sz w:val="20"/>
        </w:rPr>
        <w:t xml:space="preserve">  </w:t>
      </w:r>
    </w:p>
    <w:p w:rsidR="00BA7929" w:rsidRPr="00036BD5" w:rsidRDefault="00BA7929" w:rsidP="00036BD5">
      <w:pPr>
        <w:pStyle w:val="Reference"/>
        <w:spacing w:before="0" w:after="0" w:line="240" w:lineRule="auto"/>
        <w:jc w:val="center"/>
        <w:rPr>
          <w:sz w:val="20"/>
        </w:rPr>
      </w:pPr>
      <w:r w:rsidRPr="00036BD5">
        <w:rPr>
          <w:szCs w:val="24"/>
        </w:rPr>
        <w:t>Panel A</w:t>
      </w:r>
      <w:r w:rsidR="00036BD5" w:rsidRPr="00036BD5">
        <w:rPr>
          <w:szCs w:val="24"/>
        </w:rPr>
        <w:t>: Value-Weighted Returns</w:t>
      </w:r>
    </w:p>
    <w:p w:rsidR="00BA7929" w:rsidRPr="00706893" w:rsidRDefault="00BA7929" w:rsidP="00F76ACC">
      <w:pPr>
        <w:pStyle w:val="Reference"/>
        <w:spacing w:before="0" w:after="0" w:line="240" w:lineRule="auto"/>
        <w:ind w:left="0" w:firstLine="0"/>
        <w:rPr>
          <w:b/>
          <w:sz w:val="20"/>
        </w:rPr>
      </w:pPr>
      <w:r w:rsidRPr="00706893">
        <w:rPr>
          <w:lang w:eastAsia="en-CA"/>
        </w:rPr>
        <w:t xml:space="preserve"> </w:t>
      </w:r>
      <w:r w:rsidR="006F0051">
        <w:rPr>
          <w:noProof/>
          <w:lang w:val="en-US"/>
        </w:rPr>
        <w:drawing>
          <wp:inline distT="0" distB="0" distL="0" distR="0" wp14:anchorId="4035FAFF" wp14:editId="71EAE865">
            <wp:extent cx="5956300" cy="2768600"/>
            <wp:effectExtent l="0" t="0" r="25400" b="12700"/>
            <wp:docPr id="1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7929" w:rsidRPr="00706893" w:rsidRDefault="00BA7929" w:rsidP="00F76ACC">
      <w:pPr>
        <w:pStyle w:val="Reference"/>
        <w:spacing w:before="0" w:after="0" w:line="240" w:lineRule="auto"/>
        <w:ind w:left="0" w:firstLine="0"/>
      </w:pPr>
    </w:p>
    <w:p w:rsidR="00BA7929" w:rsidRPr="00706893" w:rsidRDefault="00BA7929" w:rsidP="00F76ACC">
      <w:pPr>
        <w:pStyle w:val="Reference"/>
        <w:spacing w:before="0" w:after="0" w:line="240" w:lineRule="auto"/>
        <w:rPr>
          <w:b/>
          <w:szCs w:val="24"/>
        </w:rPr>
      </w:pPr>
    </w:p>
    <w:p w:rsidR="00BA7929" w:rsidRDefault="00BA7929" w:rsidP="00036BD5">
      <w:pPr>
        <w:pStyle w:val="Reference"/>
        <w:spacing w:before="0" w:after="0" w:line="240" w:lineRule="auto"/>
        <w:jc w:val="center"/>
        <w:rPr>
          <w:szCs w:val="24"/>
        </w:rPr>
      </w:pPr>
      <w:r w:rsidRPr="00036BD5">
        <w:rPr>
          <w:szCs w:val="24"/>
        </w:rPr>
        <w:t>Panel B</w:t>
      </w:r>
      <w:r w:rsidR="00036BD5" w:rsidRPr="00036BD5">
        <w:rPr>
          <w:szCs w:val="24"/>
        </w:rPr>
        <w:t>: Short Interested-Weighted Returns</w:t>
      </w:r>
    </w:p>
    <w:p w:rsidR="00036BD5" w:rsidRPr="00036BD5" w:rsidRDefault="00036BD5" w:rsidP="00036BD5">
      <w:pPr>
        <w:pStyle w:val="Reference"/>
        <w:spacing w:before="0" w:after="0" w:line="240" w:lineRule="auto"/>
        <w:jc w:val="center"/>
        <w:rPr>
          <w:szCs w:val="24"/>
        </w:rPr>
      </w:pPr>
    </w:p>
    <w:p w:rsidR="00BA7929" w:rsidRPr="00706893" w:rsidRDefault="00876055" w:rsidP="00F76ACC">
      <w:pPr>
        <w:pStyle w:val="Reference"/>
        <w:spacing w:before="0" w:after="0" w:line="240" w:lineRule="auto"/>
        <w:rPr>
          <w:b/>
          <w:szCs w:val="24"/>
        </w:rPr>
      </w:pPr>
      <w:r>
        <w:rPr>
          <w:noProof/>
          <w:lang w:val="en-US"/>
        </w:rPr>
        <w:drawing>
          <wp:inline distT="0" distB="0" distL="0" distR="0" wp14:anchorId="5BE2553D" wp14:editId="14ECEA64">
            <wp:extent cx="5956300" cy="2768600"/>
            <wp:effectExtent l="0" t="0" r="2540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en-CA"/>
        </w:rPr>
        <w:t xml:space="preserve"> </w:t>
      </w:r>
    </w:p>
    <w:p w:rsidR="00BA7929" w:rsidRPr="00706893" w:rsidRDefault="00BA7929" w:rsidP="00F76ACC">
      <w:pPr>
        <w:pStyle w:val="Reference"/>
        <w:spacing w:before="0" w:after="0" w:line="240" w:lineRule="auto"/>
        <w:ind w:left="0" w:firstLine="0"/>
        <w:rPr>
          <w:lang w:eastAsia="en-CA"/>
        </w:rPr>
      </w:pPr>
    </w:p>
    <w:p w:rsidR="005B1EDD" w:rsidRDefault="00036BD5" w:rsidP="005B1EDD">
      <w:pPr>
        <w:pStyle w:val="Reference"/>
        <w:spacing w:before="0" w:after="0" w:line="240" w:lineRule="auto"/>
        <w:ind w:left="0" w:firstLine="0"/>
        <w:jc w:val="center"/>
        <w:rPr>
          <w:szCs w:val="24"/>
        </w:rPr>
      </w:pPr>
      <w:r>
        <w:rPr>
          <w:lang w:eastAsia="en-CA"/>
        </w:rPr>
        <w:t xml:space="preserve">Panel C: </w:t>
      </w:r>
      <w:r>
        <w:rPr>
          <w:szCs w:val="24"/>
        </w:rPr>
        <w:t>Difference in Cumulative Actual and Estimated Returns</w:t>
      </w:r>
    </w:p>
    <w:p w:rsidR="005B1EDD" w:rsidRDefault="005B1EDD" w:rsidP="00F76ACC">
      <w:pPr>
        <w:pStyle w:val="Reference"/>
        <w:spacing w:before="0" w:after="0" w:line="240" w:lineRule="auto"/>
        <w:ind w:left="0" w:firstLine="0"/>
        <w:rPr>
          <w:szCs w:val="24"/>
        </w:rPr>
      </w:pPr>
    </w:p>
    <w:p w:rsidR="00BA7929" w:rsidRPr="00706893" w:rsidRDefault="006F0051" w:rsidP="00F76ACC">
      <w:pPr>
        <w:pStyle w:val="Reference"/>
        <w:spacing w:before="0" w:after="0" w:line="240" w:lineRule="auto"/>
        <w:ind w:left="0" w:firstLine="0"/>
        <w:rPr>
          <w:lang w:eastAsia="en-CA"/>
        </w:rPr>
      </w:pPr>
      <w:r>
        <w:rPr>
          <w:noProof/>
          <w:lang w:val="en-US"/>
        </w:rPr>
        <w:drawing>
          <wp:inline distT="0" distB="0" distL="0" distR="0" wp14:anchorId="5FE8C103" wp14:editId="7F418340">
            <wp:extent cx="5946407" cy="3058526"/>
            <wp:effectExtent l="0" t="0" r="16510" b="27940"/>
            <wp:docPr id="14"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7929" w:rsidRPr="00706893" w:rsidRDefault="00BA7929" w:rsidP="00F76ACC">
      <w:pPr>
        <w:pStyle w:val="Reference"/>
        <w:spacing w:before="0" w:after="0" w:line="240" w:lineRule="auto"/>
        <w:ind w:left="0" w:firstLine="0"/>
        <w:rPr>
          <w:lang w:eastAsia="en-CA"/>
        </w:rPr>
      </w:pPr>
    </w:p>
    <w:p w:rsidR="00F051F6" w:rsidRDefault="002A27F3" w:rsidP="00F051F6">
      <w:pPr>
        <w:pStyle w:val="Reference"/>
        <w:spacing w:before="0" w:after="0" w:line="240" w:lineRule="auto"/>
        <w:ind w:left="0" w:firstLine="0"/>
        <w:rPr>
          <w:b/>
          <w:sz w:val="32"/>
          <w:szCs w:val="32"/>
        </w:rPr>
      </w:pPr>
      <w:r w:rsidRPr="00706893">
        <w:rPr>
          <w:lang w:eastAsia="en-CA"/>
        </w:rPr>
        <w:t xml:space="preserve"> </w:t>
      </w:r>
      <w:r w:rsidR="00BA7929" w:rsidRPr="00706893">
        <w:rPr>
          <w:lang w:eastAsia="en-CA"/>
        </w:rPr>
        <w:br w:type="page"/>
      </w:r>
    </w:p>
    <w:p w:rsidR="00BA7929" w:rsidRPr="00E93C58" w:rsidRDefault="00F051F6" w:rsidP="00E93C58">
      <w:pPr>
        <w:pStyle w:val="Reference"/>
        <w:spacing w:before="0" w:after="0" w:line="240" w:lineRule="auto"/>
        <w:ind w:left="0" w:firstLine="0"/>
        <w:rPr>
          <w:b/>
          <w:szCs w:val="24"/>
        </w:rPr>
      </w:pPr>
      <w:r w:rsidRPr="00E93C58">
        <w:rPr>
          <w:b/>
          <w:szCs w:val="24"/>
        </w:rPr>
        <w:t>Figure 5</w:t>
      </w:r>
    </w:p>
    <w:p w:rsidR="00BA7929" w:rsidRPr="00E93C58" w:rsidRDefault="00BA7929" w:rsidP="00780FA7">
      <w:pPr>
        <w:pStyle w:val="Reference"/>
        <w:spacing w:before="0" w:after="0" w:line="240" w:lineRule="auto"/>
        <w:ind w:left="0" w:firstLine="0"/>
        <w:jc w:val="both"/>
        <w:rPr>
          <w:b/>
          <w:szCs w:val="24"/>
        </w:rPr>
      </w:pPr>
      <w:r w:rsidRPr="00E93C58">
        <w:rPr>
          <w:b/>
          <w:szCs w:val="24"/>
        </w:rPr>
        <w:t>Post-Ban Period Analysis</w:t>
      </w:r>
    </w:p>
    <w:p w:rsidR="00BA7929" w:rsidRPr="00706893" w:rsidRDefault="00BA7929" w:rsidP="00415EC6">
      <w:pPr>
        <w:pStyle w:val="Reference"/>
        <w:spacing w:before="0" w:after="0" w:line="240" w:lineRule="auto"/>
        <w:ind w:left="0" w:firstLine="0"/>
        <w:rPr>
          <w:lang w:eastAsia="en-CA"/>
        </w:rPr>
      </w:pPr>
    </w:p>
    <w:p w:rsidR="00BA7929" w:rsidRPr="00706893" w:rsidRDefault="00E93C58" w:rsidP="00194EE7">
      <w:pPr>
        <w:pStyle w:val="Reference"/>
        <w:spacing w:before="0" w:after="0" w:line="240" w:lineRule="auto"/>
        <w:ind w:left="0" w:firstLine="0"/>
        <w:jc w:val="both"/>
        <w:rPr>
          <w:sz w:val="20"/>
          <w:lang w:eastAsia="en-CA"/>
        </w:rPr>
      </w:pPr>
      <w:r>
        <w:rPr>
          <w:sz w:val="20"/>
          <w:lang w:eastAsia="en-CA"/>
        </w:rPr>
        <w:t>F</w:t>
      </w:r>
      <w:r w:rsidR="00BA7929" w:rsidRPr="00706893">
        <w:rPr>
          <w:sz w:val="20"/>
          <w:lang w:eastAsia="en-CA"/>
        </w:rPr>
        <w:t xml:space="preserve">igure </w:t>
      </w:r>
      <w:r>
        <w:rPr>
          <w:sz w:val="20"/>
          <w:lang w:eastAsia="en-CA"/>
        </w:rPr>
        <w:t xml:space="preserve">5 </w:t>
      </w:r>
      <w:r w:rsidR="00BA7929" w:rsidRPr="00706893">
        <w:rPr>
          <w:sz w:val="20"/>
          <w:lang w:eastAsia="en-CA"/>
        </w:rPr>
        <w:t>plots the value-weighted, mean cumulative difference between actual and estimated returns for the ban</w:t>
      </w:r>
      <w:r w:rsidR="00BA7929">
        <w:rPr>
          <w:sz w:val="20"/>
          <w:lang w:eastAsia="en-CA"/>
        </w:rPr>
        <w:t>ned</w:t>
      </w:r>
      <w:r w:rsidR="00BA7929" w:rsidRPr="00706893">
        <w:rPr>
          <w:sz w:val="20"/>
          <w:lang w:eastAsia="en-CA"/>
        </w:rPr>
        <w:t xml:space="preserve"> stock sub</w:t>
      </w:r>
      <w:r w:rsidR="00BA7929">
        <w:rPr>
          <w:sz w:val="20"/>
          <w:lang w:eastAsia="en-CA"/>
        </w:rPr>
        <w:t>-</w:t>
      </w:r>
      <w:r w:rsidR="00BA7929" w:rsidRPr="00706893">
        <w:rPr>
          <w:sz w:val="20"/>
          <w:lang w:eastAsia="en-CA"/>
        </w:rPr>
        <w:t>s</w:t>
      </w:r>
      <w:r w:rsidR="00BA7929">
        <w:rPr>
          <w:sz w:val="20"/>
          <w:lang w:eastAsia="en-CA"/>
        </w:rPr>
        <w:t>ample from the end of the short-</w:t>
      </w:r>
      <w:r w:rsidR="00BA7929" w:rsidRPr="00706893">
        <w:rPr>
          <w:sz w:val="20"/>
          <w:lang w:eastAsia="en-CA"/>
        </w:rPr>
        <w:t xml:space="preserve">sale ban to the end of 2008.  At the start of the analysis the cumulative difference is set equal to the cumulative difference between actual and estimated returns accrued during the ban period.  </w:t>
      </w:r>
      <w:r>
        <w:rPr>
          <w:sz w:val="20"/>
          <w:lang w:eastAsia="en-CA"/>
        </w:rPr>
        <w:t>The cumulative difference is presented for the aggregate sample and subsamples based on performance (positive or negative) six months prior to the ban</w:t>
      </w:r>
      <w:r w:rsidR="00E23AB6">
        <w:rPr>
          <w:sz w:val="20"/>
          <w:lang w:eastAsia="en-CA"/>
        </w:rPr>
        <w:t xml:space="preserve">.  </w:t>
      </w:r>
    </w:p>
    <w:p w:rsidR="00BA7929" w:rsidRPr="00706893" w:rsidRDefault="00BA7929" w:rsidP="00194EE7">
      <w:pPr>
        <w:pStyle w:val="Reference"/>
        <w:spacing w:before="0" w:after="0" w:line="240" w:lineRule="auto"/>
        <w:ind w:left="0" w:firstLine="0"/>
        <w:jc w:val="both"/>
        <w:rPr>
          <w:sz w:val="20"/>
          <w:lang w:eastAsia="en-CA"/>
        </w:rPr>
      </w:pPr>
    </w:p>
    <w:p w:rsidR="00BA7929" w:rsidRPr="00706893" w:rsidRDefault="00BA7929" w:rsidP="00F648B6">
      <w:pPr>
        <w:pStyle w:val="Reference"/>
        <w:spacing w:before="0" w:after="0" w:line="240" w:lineRule="auto"/>
        <w:ind w:left="0" w:firstLine="0"/>
        <w:jc w:val="both"/>
        <w:rPr>
          <w:sz w:val="20"/>
          <w:lang w:eastAsia="en-CA"/>
        </w:rPr>
      </w:pPr>
      <w:r w:rsidRPr="00706893">
        <w:rPr>
          <w:sz w:val="20"/>
          <w:lang w:eastAsia="en-CA"/>
        </w:rPr>
        <w:t xml:space="preserve">Panel B </w:t>
      </w:r>
      <w:r w:rsidR="00E93C58">
        <w:rPr>
          <w:sz w:val="20"/>
          <w:lang w:eastAsia="en-CA"/>
        </w:rPr>
        <w:t xml:space="preserve">and C </w:t>
      </w:r>
      <w:r w:rsidRPr="00706893">
        <w:rPr>
          <w:sz w:val="20"/>
          <w:lang w:eastAsia="en-CA"/>
        </w:rPr>
        <w:t xml:space="preserve">report </w:t>
      </w:r>
      <w:r w:rsidRPr="00F37D15">
        <w:rPr>
          <w:sz w:val="20"/>
          <w:lang w:eastAsia="en-CA"/>
        </w:rPr>
        <w:t xml:space="preserve">test </w:t>
      </w:r>
      <w:r w:rsidRPr="00706893">
        <w:rPr>
          <w:sz w:val="20"/>
          <w:lang w:eastAsia="en-CA"/>
        </w:rPr>
        <w:t xml:space="preserve">statistics </w:t>
      </w:r>
      <w:r w:rsidR="00E93C58">
        <w:rPr>
          <w:sz w:val="20"/>
          <w:lang w:eastAsia="en-CA"/>
        </w:rPr>
        <w:t xml:space="preserve">for the aggregate sample and the negative performance subsample, </w:t>
      </w:r>
      <w:r w:rsidRPr="00706893">
        <w:rPr>
          <w:sz w:val="20"/>
          <w:lang w:eastAsia="en-CA"/>
        </w:rPr>
        <w:t xml:space="preserve">testing the two hypotheses: </w:t>
      </w:r>
    </w:p>
    <w:p w:rsidR="00BA7929" w:rsidRPr="00706893" w:rsidRDefault="00BA7929" w:rsidP="00F648B6">
      <w:pPr>
        <w:pStyle w:val="Reference"/>
        <w:spacing w:before="0" w:after="0" w:line="240" w:lineRule="auto"/>
        <w:ind w:left="0" w:firstLine="0"/>
        <w:jc w:val="both"/>
        <w:rPr>
          <w:sz w:val="20"/>
          <w:lang w:eastAsia="en-CA"/>
        </w:rPr>
      </w:pPr>
    </w:p>
    <w:p w:rsidR="00BA7929" w:rsidRPr="00706893" w:rsidRDefault="00BA7929" w:rsidP="00F648B6">
      <w:pPr>
        <w:pStyle w:val="Reference"/>
        <w:spacing w:before="0" w:after="0" w:line="240" w:lineRule="auto"/>
        <w:ind w:left="0" w:firstLine="720"/>
        <w:jc w:val="both"/>
        <w:rPr>
          <w:sz w:val="20"/>
          <w:lang w:eastAsia="en-CA"/>
        </w:rPr>
      </w:pPr>
      <w:r w:rsidRPr="00706893">
        <w:rPr>
          <w:sz w:val="20"/>
          <w:lang w:eastAsia="en-CA"/>
        </w:rPr>
        <w:t>H</w:t>
      </w:r>
      <w:r w:rsidRPr="00706893">
        <w:rPr>
          <w:sz w:val="20"/>
          <w:vertAlign w:val="subscript"/>
          <w:lang w:eastAsia="en-CA"/>
        </w:rPr>
        <w:t>o</w:t>
      </w:r>
      <w:r w:rsidRPr="00706893">
        <w:rPr>
          <w:sz w:val="20"/>
          <w:lang w:eastAsia="en-CA"/>
        </w:rPr>
        <w:t>: CD</w:t>
      </w:r>
      <w:r w:rsidRPr="00706893">
        <w:rPr>
          <w:i/>
          <w:sz w:val="20"/>
          <w:vertAlign w:val="subscript"/>
          <w:lang w:eastAsia="en-CA"/>
        </w:rPr>
        <w:t>i</w:t>
      </w:r>
      <w:r w:rsidRPr="00706893">
        <w:rPr>
          <w:sz w:val="20"/>
          <w:lang w:eastAsia="en-CA"/>
        </w:rPr>
        <w:t xml:space="preserve"> = 0 for all </w:t>
      </w:r>
      <w:r w:rsidRPr="00706893">
        <w:rPr>
          <w:i/>
          <w:sz w:val="20"/>
          <w:lang w:eastAsia="en-CA"/>
        </w:rPr>
        <w:t>i</w:t>
      </w:r>
      <w:r w:rsidRPr="00706893">
        <w:rPr>
          <w:i/>
          <w:sz w:val="20"/>
          <w:lang w:eastAsia="en-CA"/>
        </w:rPr>
        <w:tab/>
      </w:r>
      <w:r w:rsidRPr="00706893">
        <w:rPr>
          <w:sz w:val="20"/>
          <w:lang w:eastAsia="en-CA"/>
        </w:rPr>
        <w:t>(no correction)</w:t>
      </w:r>
    </w:p>
    <w:p w:rsidR="00BA7929" w:rsidRPr="00706893" w:rsidRDefault="00BA7929" w:rsidP="00F648B6">
      <w:pPr>
        <w:pStyle w:val="Reference"/>
        <w:spacing w:before="0" w:after="0" w:line="240" w:lineRule="auto"/>
        <w:ind w:left="0" w:firstLine="720"/>
        <w:jc w:val="both"/>
        <w:rPr>
          <w:sz w:val="20"/>
          <w:lang w:eastAsia="en-CA"/>
        </w:rPr>
      </w:pPr>
      <w:r w:rsidRPr="00706893">
        <w:rPr>
          <w:sz w:val="20"/>
          <w:lang w:eastAsia="en-CA"/>
        </w:rPr>
        <w:t>H</w:t>
      </w:r>
      <w:r w:rsidRPr="00706893">
        <w:rPr>
          <w:sz w:val="20"/>
          <w:vertAlign w:val="subscript"/>
          <w:lang w:eastAsia="en-CA"/>
        </w:rPr>
        <w:t>a</w:t>
      </w:r>
      <w:r w:rsidRPr="00706893">
        <w:rPr>
          <w:sz w:val="20"/>
          <w:lang w:eastAsia="en-CA"/>
        </w:rPr>
        <w:t>: CD</w:t>
      </w:r>
      <w:r w:rsidRPr="00706893">
        <w:rPr>
          <w:i/>
          <w:sz w:val="20"/>
          <w:vertAlign w:val="subscript"/>
          <w:lang w:eastAsia="en-CA"/>
        </w:rPr>
        <w:t>i</w:t>
      </w:r>
      <w:r w:rsidRPr="00706893">
        <w:rPr>
          <w:sz w:val="20"/>
          <w:lang w:eastAsia="en-CA"/>
        </w:rPr>
        <w:t xml:space="preserve"> = -</w:t>
      </w:r>
      <w:r w:rsidRPr="00706893">
        <w:rPr>
          <w:i/>
          <w:sz w:val="20"/>
          <w:lang w:eastAsia="en-CA"/>
        </w:rPr>
        <w:t>BD</w:t>
      </w:r>
      <w:r w:rsidRPr="00706893">
        <w:rPr>
          <w:i/>
          <w:sz w:val="20"/>
          <w:vertAlign w:val="subscript"/>
          <w:lang w:eastAsia="en-CA"/>
        </w:rPr>
        <w:t>i</w:t>
      </w:r>
      <w:r w:rsidRPr="00706893">
        <w:rPr>
          <w:sz w:val="20"/>
          <w:lang w:eastAsia="en-CA"/>
        </w:rPr>
        <w:t xml:space="preserve"> for all </w:t>
      </w:r>
      <w:r w:rsidRPr="00706893">
        <w:rPr>
          <w:i/>
          <w:sz w:val="20"/>
          <w:lang w:eastAsia="en-CA"/>
        </w:rPr>
        <w:t xml:space="preserve">i </w:t>
      </w:r>
      <w:r w:rsidRPr="00706893">
        <w:rPr>
          <w:i/>
          <w:sz w:val="20"/>
          <w:lang w:eastAsia="en-CA"/>
        </w:rPr>
        <w:tab/>
      </w:r>
      <w:r w:rsidRPr="00706893">
        <w:rPr>
          <w:sz w:val="20"/>
          <w:lang w:eastAsia="en-CA"/>
        </w:rPr>
        <w:t>(full correction)</w:t>
      </w:r>
    </w:p>
    <w:p w:rsidR="00BA7929" w:rsidRPr="00706893" w:rsidRDefault="00BA7929" w:rsidP="00F648B6">
      <w:pPr>
        <w:pStyle w:val="Reference"/>
        <w:spacing w:before="0" w:after="0" w:line="240" w:lineRule="auto"/>
        <w:ind w:left="0" w:firstLine="720"/>
        <w:jc w:val="both"/>
        <w:rPr>
          <w:sz w:val="20"/>
          <w:lang w:eastAsia="en-CA"/>
        </w:rPr>
      </w:pPr>
    </w:p>
    <w:p w:rsidR="00BA7929" w:rsidRPr="00706893" w:rsidRDefault="00BA7929" w:rsidP="00F648B6">
      <w:pPr>
        <w:pStyle w:val="Reference"/>
        <w:spacing w:before="0" w:after="0" w:line="240" w:lineRule="auto"/>
        <w:ind w:left="0" w:firstLine="0"/>
        <w:jc w:val="both"/>
        <w:rPr>
          <w:sz w:val="20"/>
          <w:lang w:eastAsia="en-CA"/>
        </w:rPr>
      </w:pPr>
      <w:r w:rsidRPr="00706893">
        <w:rPr>
          <w:sz w:val="20"/>
          <w:lang w:eastAsia="en-CA"/>
        </w:rPr>
        <w:t>where CD</w:t>
      </w:r>
      <w:r w:rsidRPr="00706893">
        <w:rPr>
          <w:i/>
          <w:sz w:val="20"/>
          <w:vertAlign w:val="subscript"/>
          <w:lang w:eastAsia="en-CA"/>
        </w:rPr>
        <w:t>i</w:t>
      </w:r>
      <w:r w:rsidRPr="00706893">
        <w:rPr>
          <w:sz w:val="20"/>
          <w:lang w:eastAsia="en-CA"/>
        </w:rPr>
        <w:t xml:space="preserve">  is the cumulative difference between actual and estimated returns for stock </w:t>
      </w:r>
      <w:r w:rsidRPr="00706893">
        <w:rPr>
          <w:i/>
          <w:sz w:val="20"/>
          <w:lang w:eastAsia="en-CA"/>
        </w:rPr>
        <w:t>i</w:t>
      </w:r>
      <w:r w:rsidRPr="00706893">
        <w:rPr>
          <w:sz w:val="20"/>
          <w:lang w:eastAsia="en-CA"/>
        </w:rPr>
        <w:t xml:space="preserve"> from the end of the ban period to day </w:t>
      </w:r>
      <w:r w:rsidRPr="00706893">
        <w:rPr>
          <w:i/>
          <w:sz w:val="20"/>
          <w:lang w:eastAsia="en-CA"/>
        </w:rPr>
        <w:t>T</w:t>
      </w:r>
      <w:r w:rsidRPr="00706893">
        <w:rPr>
          <w:sz w:val="20"/>
          <w:lang w:eastAsia="en-CA"/>
        </w:rPr>
        <w:t xml:space="preserve"> after the ban and </w:t>
      </w:r>
      <w:r w:rsidRPr="00706893">
        <w:rPr>
          <w:i/>
          <w:sz w:val="20"/>
          <w:lang w:eastAsia="en-CA"/>
        </w:rPr>
        <w:t>BD</w:t>
      </w:r>
      <w:r w:rsidRPr="00706893">
        <w:rPr>
          <w:i/>
          <w:sz w:val="20"/>
          <w:vertAlign w:val="subscript"/>
          <w:lang w:eastAsia="en-CA"/>
        </w:rPr>
        <w:t>i</w:t>
      </w:r>
      <w:r w:rsidRPr="00706893">
        <w:rPr>
          <w:sz w:val="20"/>
          <w:lang w:eastAsia="en-CA"/>
        </w:rPr>
        <w:t xml:space="preserve"> is the cumulative difference between actual and estimated returns for stock </w:t>
      </w:r>
      <w:r w:rsidRPr="00706893">
        <w:rPr>
          <w:i/>
          <w:sz w:val="20"/>
          <w:lang w:eastAsia="en-CA"/>
        </w:rPr>
        <w:t>i</w:t>
      </w:r>
      <w:r w:rsidRPr="00706893">
        <w:rPr>
          <w:sz w:val="20"/>
          <w:lang w:eastAsia="en-CA"/>
        </w:rPr>
        <w:t xml:space="preserve"> during the ban period.  </w:t>
      </w:r>
      <w:r w:rsidR="00E23AB6">
        <w:rPr>
          <w:i/>
          <w:sz w:val="20"/>
          <w:lang w:eastAsia="en-CA"/>
        </w:rPr>
        <w:t>t</w:t>
      </w:r>
      <w:r>
        <w:rPr>
          <w:sz w:val="20"/>
          <w:lang w:eastAsia="en-CA"/>
        </w:rPr>
        <w:t>-test</w:t>
      </w:r>
      <w:r w:rsidRPr="00706893">
        <w:rPr>
          <w:sz w:val="20"/>
          <w:lang w:eastAsia="en-CA"/>
        </w:rPr>
        <w:t xml:space="preserve"> and standardized cross-sectional (Boehmer et al., 1991) </w:t>
      </w:r>
      <w:r>
        <w:rPr>
          <w:sz w:val="20"/>
          <w:lang w:eastAsia="en-CA"/>
        </w:rPr>
        <w:t>t</w:t>
      </w:r>
      <w:r w:rsidRPr="00706893">
        <w:rPr>
          <w:sz w:val="20"/>
          <w:lang w:eastAsia="en-CA"/>
        </w:rPr>
        <w:t xml:space="preserve">est statistics are reported.  The conventional </w:t>
      </w:r>
      <w:r w:rsidRPr="00706893">
        <w:rPr>
          <w:i/>
          <w:sz w:val="20"/>
          <w:lang w:eastAsia="en-CA"/>
        </w:rPr>
        <w:t>t</w:t>
      </w:r>
      <w:r w:rsidRPr="00706893">
        <w:rPr>
          <w:sz w:val="20"/>
          <w:lang w:eastAsia="en-CA"/>
        </w:rPr>
        <w:t>-</w:t>
      </w:r>
      <w:r w:rsidR="00E23AB6">
        <w:rPr>
          <w:sz w:val="20"/>
          <w:lang w:eastAsia="en-CA"/>
        </w:rPr>
        <w:t>t</w:t>
      </w:r>
      <w:r w:rsidRPr="00706893">
        <w:rPr>
          <w:sz w:val="20"/>
          <w:lang w:eastAsia="en-CA"/>
        </w:rPr>
        <w:t>est statistic significance threshold values of 2.0 and -2.0 are referenced by dotted lines.</w:t>
      </w:r>
    </w:p>
    <w:p w:rsidR="00BA7929" w:rsidRPr="00706893" w:rsidRDefault="00BA7929" w:rsidP="00194EE7">
      <w:pPr>
        <w:pStyle w:val="Reference"/>
        <w:spacing w:before="0" w:after="0" w:line="240" w:lineRule="auto"/>
        <w:ind w:left="0" w:firstLine="0"/>
        <w:jc w:val="both"/>
        <w:rPr>
          <w:sz w:val="20"/>
          <w:lang w:eastAsia="en-CA"/>
        </w:rPr>
      </w:pPr>
    </w:p>
    <w:p w:rsidR="00BA7929" w:rsidRPr="00706893" w:rsidRDefault="00BA7929" w:rsidP="00415EC6">
      <w:pPr>
        <w:pStyle w:val="Reference"/>
        <w:spacing w:before="0" w:after="0" w:line="240" w:lineRule="auto"/>
        <w:ind w:left="0" w:firstLine="0"/>
        <w:rPr>
          <w:lang w:eastAsia="en-CA"/>
        </w:rPr>
      </w:pPr>
    </w:p>
    <w:p w:rsidR="00E93C58" w:rsidRDefault="00BA7929" w:rsidP="00E93C58">
      <w:pPr>
        <w:pStyle w:val="Reference"/>
        <w:spacing w:before="0" w:after="0" w:line="240" w:lineRule="auto"/>
        <w:ind w:left="0" w:firstLine="0"/>
        <w:jc w:val="center"/>
        <w:rPr>
          <w:szCs w:val="24"/>
        </w:rPr>
      </w:pPr>
      <w:r w:rsidRPr="00E93C58">
        <w:rPr>
          <w:lang w:eastAsia="en-CA"/>
        </w:rPr>
        <w:t>Panel A</w:t>
      </w:r>
      <w:r w:rsidR="00E93C58">
        <w:rPr>
          <w:lang w:eastAsia="en-CA"/>
        </w:rPr>
        <w:t xml:space="preserve">: </w:t>
      </w:r>
      <w:r w:rsidR="00E93C58">
        <w:rPr>
          <w:szCs w:val="24"/>
        </w:rPr>
        <w:t>Difference in Cumulative Actual and Estimated Returns</w:t>
      </w:r>
    </w:p>
    <w:p w:rsidR="00E93C58" w:rsidRPr="00706893" w:rsidRDefault="00E93C58" w:rsidP="00415EC6">
      <w:pPr>
        <w:pStyle w:val="Reference"/>
        <w:spacing w:before="0" w:after="0" w:line="240" w:lineRule="auto"/>
        <w:ind w:left="0" w:firstLine="0"/>
        <w:rPr>
          <w:b/>
          <w:lang w:eastAsia="en-CA"/>
        </w:rPr>
      </w:pPr>
    </w:p>
    <w:p w:rsidR="00424781" w:rsidRDefault="00E93C58">
      <w:pPr>
        <w:rPr>
          <w:lang w:eastAsia="en-CA"/>
        </w:rPr>
      </w:pPr>
      <w:r>
        <w:rPr>
          <w:lang w:eastAsia="en-CA"/>
        </w:rPr>
        <w:t xml:space="preserve"> </w:t>
      </w:r>
      <w:r>
        <w:rPr>
          <w:noProof/>
          <w:lang w:val="en-US"/>
        </w:rPr>
        <w:drawing>
          <wp:inline distT="0" distB="0" distL="0" distR="0">
            <wp:extent cx="5882640" cy="2743200"/>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lang w:eastAsia="en-CA"/>
        </w:rPr>
        <w:t xml:space="preserve"> </w:t>
      </w:r>
    </w:p>
    <w:p w:rsidR="00424781" w:rsidRDefault="00424781">
      <w:pPr>
        <w:rPr>
          <w:lang w:eastAsia="en-CA"/>
        </w:rPr>
      </w:pPr>
    </w:p>
    <w:p w:rsidR="00424781" w:rsidRDefault="00424781">
      <w:pPr>
        <w:rPr>
          <w:lang w:eastAsia="en-CA"/>
        </w:rPr>
      </w:pPr>
      <w:r>
        <w:rPr>
          <w:lang w:eastAsia="en-CA"/>
        </w:rPr>
        <w:br w:type="page"/>
      </w:r>
    </w:p>
    <w:p w:rsidR="00424781" w:rsidRDefault="00424781" w:rsidP="00424781">
      <w:pPr>
        <w:jc w:val="center"/>
        <w:rPr>
          <w:lang w:eastAsia="en-CA"/>
        </w:rPr>
      </w:pPr>
      <w:r>
        <w:rPr>
          <w:lang w:eastAsia="en-CA"/>
        </w:rPr>
        <w:t>Panel B: Test Statistics for the Aggregate Sample</w:t>
      </w:r>
    </w:p>
    <w:p w:rsidR="00424781" w:rsidRDefault="00424781">
      <w:pPr>
        <w:rPr>
          <w:lang w:eastAsia="en-CA"/>
        </w:rPr>
      </w:pPr>
    </w:p>
    <w:p w:rsidR="00424781" w:rsidRDefault="00424781">
      <w:pPr>
        <w:rPr>
          <w:lang w:eastAsia="en-CA"/>
        </w:rPr>
      </w:pPr>
      <w:r>
        <w:rPr>
          <w:noProof/>
          <w:lang w:val="en-US"/>
        </w:rPr>
        <w:drawing>
          <wp:inline distT="0" distB="0" distL="0" distR="0">
            <wp:extent cx="5943600" cy="2983225"/>
            <wp:effectExtent l="0" t="0" r="19050" b="27305"/>
            <wp:docPr id="1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4781" w:rsidRDefault="00424781">
      <w:pPr>
        <w:rPr>
          <w:lang w:eastAsia="en-CA"/>
        </w:rPr>
      </w:pPr>
    </w:p>
    <w:p w:rsidR="00424781" w:rsidRDefault="00424781">
      <w:pPr>
        <w:rPr>
          <w:lang w:eastAsia="en-CA"/>
        </w:rPr>
      </w:pPr>
    </w:p>
    <w:p w:rsidR="00424781" w:rsidRDefault="00424781" w:rsidP="00424781">
      <w:pPr>
        <w:jc w:val="center"/>
        <w:rPr>
          <w:lang w:eastAsia="en-CA"/>
        </w:rPr>
      </w:pPr>
      <w:r>
        <w:rPr>
          <w:lang w:eastAsia="en-CA"/>
        </w:rPr>
        <w:t>Panel C: Test Statistics for the Negative Performance Subsample</w:t>
      </w:r>
    </w:p>
    <w:p w:rsidR="00424781" w:rsidRDefault="00424781">
      <w:pPr>
        <w:rPr>
          <w:lang w:eastAsia="en-CA"/>
        </w:rPr>
      </w:pPr>
    </w:p>
    <w:p w:rsidR="00BA7929" w:rsidRPr="00706893" w:rsidRDefault="00424781" w:rsidP="00424781">
      <w:pPr>
        <w:rPr>
          <w:lang w:eastAsia="en-CA"/>
        </w:rPr>
      </w:pPr>
      <w:r>
        <w:rPr>
          <w:noProof/>
          <w:lang w:val="en-US"/>
        </w:rPr>
        <w:drawing>
          <wp:inline distT="0" distB="0" distL="0" distR="0">
            <wp:extent cx="5943600" cy="3030830"/>
            <wp:effectExtent l="0" t="0" r="19050" b="17780"/>
            <wp:docPr id="1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BA7929" w:rsidRPr="00706893" w:rsidSect="002A53CB">
      <w:footerReference w:type="default" r:id="rId28"/>
      <w:type w:val="continuous"/>
      <w:pgSz w:w="12240" w:h="15840"/>
      <w:pgMar w:top="1440" w:right="1440" w:bottom="1440" w:left="1440" w:header="475"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F5" w:rsidRDefault="004726F5">
      <w:r>
        <w:separator/>
      </w:r>
    </w:p>
  </w:endnote>
  <w:endnote w:type="continuationSeparator" w:id="0">
    <w:p w:rsidR="004726F5" w:rsidRDefault="004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F5" w:rsidRDefault="004726F5">
    <w:pPr>
      <w:pStyle w:val="Footer"/>
      <w:jc w:val="center"/>
    </w:pPr>
    <w:r>
      <w:t>-</w:t>
    </w:r>
    <w:sdt>
      <w:sdtPr>
        <w:id w:val="909350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7EB4">
          <w:rPr>
            <w:noProof/>
          </w:rPr>
          <w:t>31</w:t>
        </w:r>
        <w:r>
          <w:rPr>
            <w:noProof/>
          </w:rPr>
          <w:fldChar w:fldCharType="end"/>
        </w:r>
        <w:r>
          <w:rPr>
            <w:noProof/>
          </w:rPr>
          <w:t>-</w:t>
        </w:r>
      </w:sdtContent>
    </w:sdt>
  </w:p>
  <w:p w:rsidR="004726F5" w:rsidRDefault="00472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F5" w:rsidRDefault="0047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F5" w:rsidRDefault="004726F5">
      <w:r>
        <w:separator/>
      </w:r>
    </w:p>
  </w:footnote>
  <w:footnote w:type="continuationSeparator" w:id="0">
    <w:p w:rsidR="004726F5" w:rsidRDefault="004726F5">
      <w:r>
        <w:continuationSeparator/>
      </w:r>
    </w:p>
  </w:footnote>
  <w:footnote w:id="1">
    <w:p w:rsidR="004726F5" w:rsidRPr="00090F2A" w:rsidRDefault="004726F5" w:rsidP="00100694">
      <w:pPr>
        <w:pStyle w:val="FootnoteText"/>
        <w:jc w:val="both"/>
      </w:pPr>
      <w:r w:rsidRPr="00090F2A">
        <w:rPr>
          <w:rStyle w:val="FootnoteReference"/>
        </w:rPr>
        <w:sym w:font="Symbol" w:char="F02A"/>
      </w:r>
      <w:r w:rsidRPr="00090F2A">
        <w:t xml:space="preserve"> Harris is at the Marshall School of Business, University of Southern California</w:t>
      </w:r>
      <w:r>
        <w:t>.</w:t>
      </w:r>
      <w:r w:rsidRPr="00090F2A">
        <w:t xml:space="preserve"> </w:t>
      </w:r>
      <w:r>
        <w:t xml:space="preserve"> </w:t>
      </w:r>
      <w:r w:rsidRPr="00090F2A">
        <w:t>Namvar is at Haas School of Business, Unive</w:t>
      </w:r>
      <w:r>
        <w:t>rsity of California at Berkeley.</w:t>
      </w:r>
      <w:r w:rsidRPr="00090F2A">
        <w:t xml:space="preserve"> </w:t>
      </w:r>
      <w:r>
        <w:t xml:space="preserve"> </w:t>
      </w:r>
      <w:r w:rsidRPr="00090F2A">
        <w:t xml:space="preserve">Phillips is at the University of Waterloo, School of Accounting and Finance.  A portion of this work was completed while Phillips was at the University of Alberta, School of Business.  </w:t>
      </w:r>
      <w:r>
        <w:t>We thank Mark Huson, Raghavendra Rau, Terrence Hendershott, seminar participants at the University of Southern California, the Q-Group, University of Warwick and University of Waterloo and session participants at the 2009 NBER Market Microstructure Research Group Meetings, 2009 Northern Finance Associations Meetings and The Economics and Econometrics of Recurring Financial Market Crises Conference for helpful comments.</w:t>
      </w:r>
    </w:p>
  </w:footnote>
  <w:footnote w:id="2">
    <w:p w:rsidR="004726F5" w:rsidRDefault="004726F5" w:rsidP="006C33CB">
      <w:pPr>
        <w:pStyle w:val="FootnoteText"/>
        <w:jc w:val="both"/>
      </w:pPr>
      <w:r>
        <w:rPr>
          <w:rStyle w:val="FootnoteReference"/>
        </w:rPr>
        <w:footnoteRef/>
      </w:r>
      <w:r>
        <w:t xml:space="preserve"> See SEC Release No. 34-58592 and SEC Release No. 2008-211 for discussion of the objectives of the short-sale ban in the U.S. by SEC Chairman Christopher Cox and SEC Acting Secretary Florence E. Harmon.</w:t>
      </w:r>
    </w:p>
    <w:p w:rsidR="004726F5" w:rsidRDefault="004726F5">
      <w:pPr>
        <w:pStyle w:val="FootnoteText"/>
      </w:pPr>
    </w:p>
  </w:footnote>
  <w:footnote w:id="3">
    <w:p w:rsidR="004726F5" w:rsidRDefault="004726F5">
      <w:pPr>
        <w:pStyle w:val="FootnoteText"/>
      </w:pPr>
      <w:r>
        <w:rPr>
          <w:rStyle w:val="FootnoteReference"/>
        </w:rPr>
        <w:footnoteRef/>
      </w:r>
      <w:r>
        <w:t xml:space="preserve"> See, for example, Bris et al., 2007.</w:t>
      </w:r>
    </w:p>
  </w:footnote>
  <w:footnote w:id="4">
    <w:p w:rsidR="004726F5" w:rsidRDefault="004726F5" w:rsidP="002D200B">
      <w:pPr>
        <w:pStyle w:val="FootnoteText"/>
        <w:jc w:val="both"/>
      </w:pPr>
      <w:r>
        <w:rPr>
          <w:rStyle w:val="FootnoteReference"/>
        </w:rPr>
        <w:footnoteRef/>
      </w:r>
      <w:r>
        <w:t xml:space="preserve"> Boehmer et al. (2009) undertake a similar analysis focusing on the U.S. and benchmarking the returns of banned stocks to a control sample matched on listing exchange, pre-ban trading volume, and market capitalization.</w:t>
      </w:r>
    </w:p>
    <w:p w:rsidR="004726F5" w:rsidRDefault="004726F5">
      <w:pPr>
        <w:pStyle w:val="FootnoteText"/>
      </w:pPr>
    </w:p>
  </w:footnote>
  <w:footnote w:id="5">
    <w:p w:rsidR="004726F5" w:rsidRDefault="004726F5" w:rsidP="00FA4F6A">
      <w:pPr>
        <w:pStyle w:val="FootnoteText"/>
        <w:jc w:val="both"/>
      </w:pPr>
      <w:r>
        <w:rPr>
          <w:rStyle w:val="FootnoteReference"/>
        </w:rPr>
        <w:footnoteRef/>
      </w:r>
      <w:r>
        <w:t xml:space="preserve"> See for example, Chen et al. (2002), Lamont (2004), Nagel (2005), and Asquith et al. (2005). </w:t>
      </w:r>
    </w:p>
  </w:footnote>
  <w:footnote w:id="6">
    <w:p w:rsidR="004726F5" w:rsidRDefault="004726F5" w:rsidP="00100694">
      <w:pPr>
        <w:pStyle w:val="FootnoteText"/>
        <w:jc w:val="both"/>
      </w:pPr>
      <w:r>
        <w:rPr>
          <w:rStyle w:val="FootnoteReference"/>
        </w:rPr>
        <w:footnoteRef/>
      </w:r>
      <w:r>
        <w:t xml:space="preserve"> On September 19, 2008, the SEC banned short-sale transactions for banks, insurance companies and securities firms identified by SIC codes 6000, 3020-22, 6025, 6030, 6035-36, 6111, 6140, 6144, 6200, 6210-11, 6231, 6282, 6305, 6310-11, 6320-21, 6324, 6330-31, 6350-51, 6360-61, 6712 and 6719.  The </w:t>
      </w:r>
      <w:smartTag w:uri="urn:schemas-microsoft-com:office:smarttags" w:element="date">
        <w:smartTagPr>
          <w:attr w:name="Month" w:val="9"/>
          <w:attr w:name="Day" w:val="19"/>
          <w:attr w:name="Year" w:val="2008"/>
        </w:smartTagPr>
        <w:r>
          <w:t>September 19, 2008</w:t>
        </w:r>
      </w:smartTag>
      <w:r>
        <w:t xml:space="preserve"> ban list included 848 firms.  Many firms filed complaints asking to be included on the list.  The SEC subsequently added 149 more firms to the list between September 22 and </w:t>
      </w:r>
      <w:smartTag w:uri="urn:schemas-microsoft-com:office:smarttags" w:element="date">
        <w:smartTagPr>
          <w:attr w:name="Month" w:val="10"/>
          <w:attr w:name="Day" w:val="7"/>
          <w:attr w:name="Year" w:val="2008"/>
        </w:smartTagPr>
        <w:r>
          <w:t>October 7, 2008</w:t>
        </w:r>
      </w:smartTag>
      <w:r>
        <w:t xml:space="preserve">.  Ten firms initially included on the list requested removal.  Our classification of banned stocks includes all stocks added to the ban list between September 19 and </w:t>
      </w:r>
      <w:smartTag w:uri="urn:schemas-microsoft-com:office:smarttags" w:element="date">
        <w:smartTagPr>
          <w:attr w:name="Month" w:val="9"/>
          <w:attr w:name="Day" w:val="26"/>
          <w:attr w:name="Year" w:val="2008"/>
        </w:smartTagPr>
        <w:r>
          <w:t>September 26, 2008</w:t>
        </w:r>
      </w:smartTag>
      <w:r>
        <w:t>.  We exclude stocks added after September 26 and stocks removed from the list after initial inclusion.</w:t>
      </w:r>
    </w:p>
    <w:p w:rsidR="004726F5" w:rsidRDefault="004726F5" w:rsidP="00100694">
      <w:pPr>
        <w:pStyle w:val="FootnoteText"/>
        <w:jc w:val="both"/>
      </w:pPr>
    </w:p>
  </w:footnote>
  <w:footnote w:id="7">
    <w:p w:rsidR="004726F5" w:rsidRDefault="004726F5" w:rsidP="003F04B1">
      <w:pPr>
        <w:pStyle w:val="FootnoteText"/>
        <w:jc w:val="both"/>
      </w:pPr>
      <w:r>
        <w:rPr>
          <w:rStyle w:val="FootnoteReference"/>
        </w:rPr>
        <w:footnoteRef/>
      </w:r>
      <w:r>
        <w:t xml:space="preserve"> The Short Squeeze database compiles short interest data for over 16,000 stocks listed on the NASDAQ, NYSE, AMEX, OTCBB, and Pink Sheets drawn from exchange publications. </w:t>
      </w:r>
    </w:p>
    <w:p w:rsidR="004726F5" w:rsidRDefault="004726F5" w:rsidP="003F04B1">
      <w:pPr>
        <w:pStyle w:val="FootnoteText"/>
        <w:jc w:val="both"/>
      </w:pPr>
    </w:p>
  </w:footnote>
  <w:footnote w:id="8">
    <w:p w:rsidR="004726F5" w:rsidRDefault="004726F5" w:rsidP="00100694">
      <w:pPr>
        <w:pStyle w:val="FootnoteText"/>
        <w:jc w:val="both"/>
      </w:pPr>
      <w:r>
        <w:rPr>
          <w:rStyle w:val="FootnoteReference"/>
        </w:rPr>
        <w:footnoteRef/>
      </w:r>
      <w:r>
        <w:t xml:space="preserve"> Such securities were primarily ETFs for which we suspect information about shares outstanding was often inaccurate. </w:t>
      </w:r>
    </w:p>
    <w:p w:rsidR="004726F5" w:rsidRDefault="004726F5" w:rsidP="00100694">
      <w:pPr>
        <w:pStyle w:val="FootnoteText"/>
        <w:jc w:val="both"/>
      </w:pPr>
    </w:p>
  </w:footnote>
  <w:footnote w:id="9">
    <w:p w:rsidR="004726F5" w:rsidRDefault="004726F5" w:rsidP="00DE20F0">
      <w:pPr>
        <w:pStyle w:val="FootnoteText"/>
        <w:jc w:val="both"/>
      </w:pPr>
      <w:r>
        <w:rPr>
          <w:rStyle w:val="FootnoteReference"/>
        </w:rPr>
        <w:footnoteRef/>
      </w:r>
      <w:r>
        <w:t xml:space="preserve"> We use the percentage of float sold short on </w:t>
      </w:r>
      <w:smartTag w:uri="urn:schemas-microsoft-com:office:smarttags" w:element="date">
        <w:smartTagPr>
          <w:attr w:name="Month" w:val="9"/>
          <w:attr w:name="Day" w:val="15"/>
          <w:attr w:name="Year" w:val="2008"/>
        </w:smartTagPr>
        <w:r>
          <w:t>September 15, 2008</w:t>
        </w:r>
      </w:smartTag>
      <w:r>
        <w:t xml:space="preserve"> to compute the short interest-weighted indices.  Float data were not available for 735 of the stocks in our 4,810 stock sample.  For stocks missing float, we used shares outstanding instead.</w:t>
      </w:r>
    </w:p>
  </w:footnote>
  <w:footnote w:id="10">
    <w:p w:rsidR="004726F5" w:rsidRDefault="004726F5" w:rsidP="00651D74">
      <w:pPr>
        <w:pStyle w:val="FootnoteText"/>
      </w:pPr>
      <w:r w:rsidRPr="00034E61">
        <w:rPr>
          <w:rStyle w:val="FootnoteReference"/>
        </w:rPr>
        <w:footnoteRef/>
      </w:r>
      <w:r w:rsidRPr="00034E61">
        <w:t xml:space="preserve"> See Daniel and Titman (1997) for a similar application of this modeling methodology.</w:t>
      </w:r>
    </w:p>
  </w:footnote>
  <w:footnote w:id="11">
    <w:p w:rsidR="004726F5" w:rsidRDefault="004726F5" w:rsidP="00100694">
      <w:pPr>
        <w:pStyle w:val="FootnoteText"/>
        <w:jc w:val="both"/>
      </w:pPr>
      <w:r>
        <w:rPr>
          <w:rStyle w:val="FootnoteReference"/>
        </w:rPr>
        <w:footnoteRef/>
      </w:r>
      <w:r>
        <w:t xml:space="preserve"> We cannot conduct a similar analysis for the cross-sectional stock characteristic factors because their actual values are unknown. </w:t>
      </w:r>
    </w:p>
    <w:p w:rsidR="004726F5" w:rsidRDefault="004726F5" w:rsidP="00100694">
      <w:pPr>
        <w:pStyle w:val="FootnoteText"/>
        <w:jc w:val="both"/>
      </w:pPr>
    </w:p>
  </w:footnote>
  <w:footnote w:id="12">
    <w:p w:rsidR="004726F5" w:rsidRDefault="004726F5" w:rsidP="00DE20F0">
      <w:pPr>
        <w:pStyle w:val="FootnoteText"/>
        <w:jc w:val="both"/>
      </w:pPr>
      <w:r>
        <w:rPr>
          <w:rStyle w:val="FootnoteReference"/>
        </w:rPr>
        <w:footnoteRef/>
      </w:r>
      <w:r>
        <w:t xml:space="preserve"> For simplicity, the six factor model with stock characteristics is referred to as the factor-analytic model in the remainder of the paper.</w:t>
      </w:r>
    </w:p>
  </w:footnote>
  <w:footnote w:id="13">
    <w:p w:rsidR="004726F5" w:rsidRDefault="004726F5" w:rsidP="00DE20F0">
      <w:pPr>
        <w:pStyle w:val="FootnoteText"/>
        <w:jc w:val="both"/>
      </w:pPr>
      <w:r>
        <w:rPr>
          <w:rStyle w:val="FootnoteReference"/>
        </w:rPr>
        <w:footnoteRef/>
      </w:r>
      <w:r>
        <w:t xml:space="preserve"> Further support of the significance of the inflation for the banned sub sample is provided in the multivariate regression analysis discussed below.</w:t>
      </w:r>
    </w:p>
  </w:footnote>
  <w:footnote w:id="14">
    <w:p w:rsidR="004726F5" w:rsidRDefault="004726F5" w:rsidP="00DE20F0">
      <w:pPr>
        <w:pStyle w:val="FootnoteText"/>
        <w:jc w:val="both"/>
      </w:pPr>
      <w:r>
        <w:rPr>
          <w:rStyle w:val="FootnoteReference"/>
        </w:rPr>
        <w:footnoteRef/>
      </w:r>
      <w:r>
        <w:t xml:space="preserve"> Optionable stocks include stocks listed on the NYSE/AMEX, Chicago Board, or the Philadelphia Options Exchanges at the time of the ban.</w:t>
      </w:r>
    </w:p>
    <w:p w:rsidR="004726F5" w:rsidRDefault="004726F5" w:rsidP="00DE20F0">
      <w:pPr>
        <w:pStyle w:val="FootnoteText"/>
        <w:jc w:val="both"/>
      </w:pPr>
    </w:p>
  </w:footnote>
  <w:footnote w:id="15">
    <w:p w:rsidR="004726F5" w:rsidRDefault="004726F5" w:rsidP="00F71A52">
      <w:pPr>
        <w:pStyle w:val="FootnoteText"/>
        <w:jc w:val="both"/>
      </w:pPr>
      <w:r>
        <w:rPr>
          <w:rStyle w:val="FootnoteReference"/>
        </w:rPr>
        <w:footnoteRef/>
      </w:r>
      <w:r>
        <w:t xml:space="preserve"> Variation in the magnitude of inflation between optionable and non-optionable stocks is noted only for the short interest-weighted and multivariate regression models.  For the value-weighted results, no appreciable difference was found in the magnitude of inflation for optionable and non-optionable stocks (9.5% and 10.1%, respectively, relative to the aggregate sample result of 10.6%).  This result is not unexpected.  Within the banned sub-sample, optionable stocks are on average over twice the size (market capitalization) of non-optionable stocks.  Thus, utilizing a value- weighting method to calculate mean inflation biases against finding a difference in inflation between optionable and non-optionable stocks.  For this reason, the short interest-weighted method and multivariate analysis give a more reliable assessment of the difference in inflation between optionable and non-optionable stocks, and we focus upon these methods for this analysis.</w:t>
      </w:r>
    </w:p>
  </w:footnote>
  <w:footnote w:id="16">
    <w:p w:rsidR="004726F5" w:rsidRDefault="004726F5" w:rsidP="00A817BE">
      <w:pPr>
        <w:pStyle w:val="FootnoteText"/>
        <w:jc w:val="both"/>
      </w:pPr>
      <w:r>
        <w:rPr>
          <w:rStyle w:val="FootnoteReference"/>
        </w:rPr>
        <w:footnoteRef/>
      </w:r>
      <w:r>
        <w:t xml:space="preserve"> We measure illiquidity using the Amihud Illiquidity Ratio (Amihud, 2002) calculated as the daily ratio of absolute stock return to the dollar value of trading volume.</w:t>
      </w:r>
    </w:p>
    <w:p w:rsidR="004726F5" w:rsidRDefault="004726F5" w:rsidP="00A817BE">
      <w:pPr>
        <w:pStyle w:val="FootnoteText"/>
        <w:jc w:val="both"/>
      </w:pPr>
    </w:p>
  </w:footnote>
  <w:footnote w:id="17">
    <w:p w:rsidR="004726F5" w:rsidRDefault="004726F5" w:rsidP="00A817BE">
      <w:pPr>
        <w:pStyle w:val="FootnoteText"/>
        <w:jc w:val="both"/>
      </w:pPr>
      <w:r>
        <w:rPr>
          <w:rStyle w:val="FootnoteReference"/>
        </w:rPr>
        <w:footnoteRef/>
      </w:r>
      <w:r>
        <w:t xml:space="preserve"> Note that we cannot include the interaction of TARP and BAN as all TARP stocks were also banned, thus the interaction variable is not full rank with inclusion of the TARP base variable.</w:t>
      </w:r>
    </w:p>
    <w:p w:rsidR="004726F5" w:rsidRDefault="004726F5" w:rsidP="00A817BE">
      <w:pPr>
        <w:pStyle w:val="FootnoteText"/>
        <w:jc w:val="both"/>
      </w:pPr>
    </w:p>
  </w:footnote>
  <w:footnote w:id="18">
    <w:p w:rsidR="004726F5" w:rsidRDefault="004726F5" w:rsidP="008D0760">
      <w:pPr>
        <w:pStyle w:val="FootnoteText"/>
        <w:jc w:val="both"/>
      </w:pPr>
      <w:r>
        <w:rPr>
          <w:rStyle w:val="FootnoteReference"/>
        </w:rPr>
        <w:footnoteRef/>
      </w:r>
      <w:r>
        <w:t xml:space="preserve"> The short-sale ban sub-sample is approximately evenly split between positive and negative performers.  Of the 676 stocks in the sub-sample, 315 stocks realized negative returns in the six months prior to the ban.</w:t>
      </w:r>
    </w:p>
    <w:p w:rsidR="004726F5" w:rsidRDefault="004726F5" w:rsidP="008D0760">
      <w:pPr>
        <w:pStyle w:val="FootnoteText"/>
        <w:jc w:val="both"/>
      </w:pPr>
    </w:p>
  </w:footnote>
  <w:footnote w:id="19">
    <w:p w:rsidR="004726F5" w:rsidRDefault="004726F5" w:rsidP="00337C59">
      <w:pPr>
        <w:pStyle w:val="FootnoteText"/>
        <w:jc w:val="both"/>
      </w:pPr>
      <w:r>
        <w:rPr>
          <w:rStyle w:val="FootnoteReference"/>
        </w:rPr>
        <w:footnoteRef/>
      </w:r>
      <w:r>
        <w:t xml:space="preserve"> We use stock inflation estimates from the value-weighted cross-sectional regression results in this analysis.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F5" w:rsidRDefault="004726F5" w:rsidP="005B45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F5" w:rsidRDefault="004726F5" w:rsidP="005B45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BEF"/>
    <w:multiLevelType w:val="multilevel"/>
    <w:tmpl w:val="0C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A57462"/>
    <w:multiLevelType w:val="multilevel"/>
    <w:tmpl w:val="0C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C620474"/>
    <w:multiLevelType w:val="hybridMultilevel"/>
    <w:tmpl w:val="33269DF8"/>
    <w:lvl w:ilvl="0" w:tplc="0BE4649C">
      <w:start w:val="1"/>
      <w:numFmt w:val="upperRoman"/>
      <w:lvlText w:val="%1."/>
      <w:lvlJc w:val="left"/>
      <w:pPr>
        <w:ind w:left="1080" w:hanging="72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629370BE"/>
    <w:multiLevelType w:val="hybridMultilevel"/>
    <w:tmpl w:val="0E228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55"/>
    <w:rsid w:val="000036EE"/>
    <w:rsid w:val="000041F2"/>
    <w:rsid w:val="00011F8B"/>
    <w:rsid w:val="00012CBC"/>
    <w:rsid w:val="000277F3"/>
    <w:rsid w:val="0003093C"/>
    <w:rsid w:val="00032FF0"/>
    <w:rsid w:val="00034E61"/>
    <w:rsid w:val="00036BD5"/>
    <w:rsid w:val="00043D2B"/>
    <w:rsid w:val="00045276"/>
    <w:rsid w:val="0004725A"/>
    <w:rsid w:val="000530D5"/>
    <w:rsid w:val="00054FCD"/>
    <w:rsid w:val="0005746F"/>
    <w:rsid w:val="000578C7"/>
    <w:rsid w:val="00057ED7"/>
    <w:rsid w:val="00062944"/>
    <w:rsid w:val="00062E4E"/>
    <w:rsid w:val="00063695"/>
    <w:rsid w:val="000718B3"/>
    <w:rsid w:val="00075867"/>
    <w:rsid w:val="00075ACB"/>
    <w:rsid w:val="000808A8"/>
    <w:rsid w:val="00080BA7"/>
    <w:rsid w:val="00083592"/>
    <w:rsid w:val="00083FB9"/>
    <w:rsid w:val="000845DB"/>
    <w:rsid w:val="00087D31"/>
    <w:rsid w:val="00090F2A"/>
    <w:rsid w:val="00096CFB"/>
    <w:rsid w:val="0009708A"/>
    <w:rsid w:val="000A149D"/>
    <w:rsid w:val="000A74FF"/>
    <w:rsid w:val="000B02E0"/>
    <w:rsid w:val="000B2F07"/>
    <w:rsid w:val="000B51A1"/>
    <w:rsid w:val="000B563E"/>
    <w:rsid w:val="000B677F"/>
    <w:rsid w:val="000C2AB3"/>
    <w:rsid w:val="000C382B"/>
    <w:rsid w:val="000C46E4"/>
    <w:rsid w:val="000C71C0"/>
    <w:rsid w:val="000D0B99"/>
    <w:rsid w:val="000D1141"/>
    <w:rsid w:val="000D3873"/>
    <w:rsid w:val="000D4AA8"/>
    <w:rsid w:val="000E088B"/>
    <w:rsid w:val="000E4277"/>
    <w:rsid w:val="000E571F"/>
    <w:rsid w:val="000F090F"/>
    <w:rsid w:val="000F69DE"/>
    <w:rsid w:val="000F7724"/>
    <w:rsid w:val="00100694"/>
    <w:rsid w:val="00102AB2"/>
    <w:rsid w:val="00104E0B"/>
    <w:rsid w:val="00107DBD"/>
    <w:rsid w:val="00110A91"/>
    <w:rsid w:val="001135B2"/>
    <w:rsid w:val="0012008D"/>
    <w:rsid w:val="00121C5E"/>
    <w:rsid w:val="001241A2"/>
    <w:rsid w:val="0012470D"/>
    <w:rsid w:val="00132E73"/>
    <w:rsid w:val="00133420"/>
    <w:rsid w:val="00133C7B"/>
    <w:rsid w:val="00137652"/>
    <w:rsid w:val="00144362"/>
    <w:rsid w:val="00147524"/>
    <w:rsid w:val="001510A6"/>
    <w:rsid w:val="001536F2"/>
    <w:rsid w:val="0015437F"/>
    <w:rsid w:val="001543F5"/>
    <w:rsid w:val="00155F2B"/>
    <w:rsid w:val="00157948"/>
    <w:rsid w:val="001609EE"/>
    <w:rsid w:val="00160A55"/>
    <w:rsid w:val="00164A03"/>
    <w:rsid w:val="00165E7F"/>
    <w:rsid w:val="001723FD"/>
    <w:rsid w:val="0018242B"/>
    <w:rsid w:val="00184511"/>
    <w:rsid w:val="00191498"/>
    <w:rsid w:val="00194EE7"/>
    <w:rsid w:val="001A0A77"/>
    <w:rsid w:val="001A1CE7"/>
    <w:rsid w:val="001A1FA8"/>
    <w:rsid w:val="001A27E3"/>
    <w:rsid w:val="001A2B91"/>
    <w:rsid w:val="001A4CC5"/>
    <w:rsid w:val="001A5DD4"/>
    <w:rsid w:val="001A6A23"/>
    <w:rsid w:val="001B1465"/>
    <w:rsid w:val="001B2D23"/>
    <w:rsid w:val="001B4754"/>
    <w:rsid w:val="001C342D"/>
    <w:rsid w:val="001C6A73"/>
    <w:rsid w:val="001D31BA"/>
    <w:rsid w:val="001D33BA"/>
    <w:rsid w:val="001D73C6"/>
    <w:rsid w:val="001E2F5F"/>
    <w:rsid w:val="001E3006"/>
    <w:rsid w:val="001E614D"/>
    <w:rsid w:val="001E71DA"/>
    <w:rsid w:val="001F0995"/>
    <w:rsid w:val="001F1056"/>
    <w:rsid w:val="001F1B8F"/>
    <w:rsid w:val="001F4913"/>
    <w:rsid w:val="001F70F9"/>
    <w:rsid w:val="00200875"/>
    <w:rsid w:val="002008FF"/>
    <w:rsid w:val="00201D72"/>
    <w:rsid w:val="00203408"/>
    <w:rsid w:val="0020619D"/>
    <w:rsid w:val="0021079E"/>
    <w:rsid w:val="00216D6E"/>
    <w:rsid w:val="0021750B"/>
    <w:rsid w:val="002177EC"/>
    <w:rsid w:val="0022720C"/>
    <w:rsid w:val="0023050C"/>
    <w:rsid w:val="00234C8F"/>
    <w:rsid w:val="00240D98"/>
    <w:rsid w:val="00242306"/>
    <w:rsid w:val="00242D55"/>
    <w:rsid w:val="00243353"/>
    <w:rsid w:val="0024645F"/>
    <w:rsid w:val="00246586"/>
    <w:rsid w:val="00247E7B"/>
    <w:rsid w:val="0025094A"/>
    <w:rsid w:val="00250E9F"/>
    <w:rsid w:val="00253CC6"/>
    <w:rsid w:val="00255B26"/>
    <w:rsid w:val="00260892"/>
    <w:rsid w:val="00261F27"/>
    <w:rsid w:val="00263935"/>
    <w:rsid w:val="002664CD"/>
    <w:rsid w:val="00270278"/>
    <w:rsid w:val="00271A25"/>
    <w:rsid w:val="002738A4"/>
    <w:rsid w:val="00274E65"/>
    <w:rsid w:val="0027529F"/>
    <w:rsid w:val="00275E47"/>
    <w:rsid w:val="0027646D"/>
    <w:rsid w:val="00277699"/>
    <w:rsid w:val="00280D87"/>
    <w:rsid w:val="002814BD"/>
    <w:rsid w:val="00285FAF"/>
    <w:rsid w:val="002864C3"/>
    <w:rsid w:val="00291D95"/>
    <w:rsid w:val="00294F10"/>
    <w:rsid w:val="00295C46"/>
    <w:rsid w:val="00296821"/>
    <w:rsid w:val="002978F1"/>
    <w:rsid w:val="002A2623"/>
    <w:rsid w:val="002A27F3"/>
    <w:rsid w:val="002A2BE7"/>
    <w:rsid w:val="002A53CB"/>
    <w:rsid w:val="002A5A03"/>
    <w:rsid w:val="002A65CB"/>
    <w:rsid w:val="002A7109"/>
    <w:rsid w:val="002B12A4"/>
    <w:rsid w:val="002B3B7D"/>
    <w:rsid w:val="002B57AB"/>
    <w:rsid w:val="002B6784"/>
    <w:rsid w:val="002C2743"/>
    <w:rsid w:val="002C3B6D"/>
    <w:rsid w:val="002C3E18"/>
    <w:rsid w:val="002C4C9B"/>
    <w:rsid w:val="002C4F0A"/>
    <w:rsid w:val="002D0FE3"/>
    <w:rsid w:val="002D200B"/>
    <w:rsid w:val="002D3C90"/>
    <w:rsid w:val="002D6AEB"/>
    <w:rsid w:val="002D7028"/>
    <w:rsid w:val="002E0DD3"/>
    <w:rsid w:val="002E6465"/>
    <w:rsid w:val="002E7B46"/>
    <w:rsid w:val="002E7CCA"/>
    <w:rsid w:val="002F170F"/>
    <w:rsid w:val="002F2F3D"/>
    <w:rsid w:val="002F3898"/>
    <w:rsid w:val="002F398B"/>
    <w:rsid w:val="002F5196"/>
    <w:rsid w:val="002F6429"/>
    <w:rsid w:val="002F7281"/>
    <w:rsid w:val="002F7C1A"/>
    <w:rsid w:val="00301227"/>
    <w:rsid w:val="003025C5"/>
    <w:rsid w:val="00307199"/>
    <w:rsid w:val="0030729E"/>
    <w:rsid w:val="00310B98"/>
    <w:rsid w:val="00311196"/>
    <w:rsid w:val="00313477"/>
    <w:rsid w:val="00313E11"/>
    <w:rsid w:val="003146E1"/>
    <w:rsid w:val="00317840"/>
    <w:rsid w:val="00324CF4"/>
    <w:rsid w:val="00324D48"/>
    <w:rsid w:val="003255DC"/>
    <w:rsid w:val="00327CC9"/>
    <w:rsid w:val="00330C37"/>
    <w:rsid w:val="00337367"/>
    <w:rsid w:val="00337C59"/>
    <w:rsid w:val="00342BAC"/>
    <w:rsid w:val="003435CD"/>
    <w:rsid w:val="003442BA"/>
    <w:rsid w:val="00345090"/>
    <w:rsid w:val="003474CE"/>
    <w:rsid w:val="003505A1"/>
    <w:rsid w:val="003521A8"/>
    <w:rsid w:val="00355404"/>
    <w:rsid w:val="003559FA"/>
    <w:rsid w:val="003562BE"/>
    <w:rsid w:val="00362473"/>
    <w:rsid w:val="003647D6"/>
    <w:rsid w:val="00371184"/>
    <w:rsid w:val="0037443D"/>
    <w:rsid w:val="00375DEF"/>
    <w:rsid w:val="00383141"/>
    <w:rsid w:val="00384A61"/>
    <w:rsid w:val="0038738F"/>
    <w:rsid w:val="003915D3"/>
    <w:rsid w:val="00392905"/>
    <w:rsid w:val="00397D60"/>
    <w:rsid w:val="003A0194"/>
    <w:rsid w:val="003A0E0A"/>
    <w:rsid w:val="003A43AD"/>
    <w:rsid w:val="003B08EA"/>
    <w:rsid w:val="003B3EB5"/>
    <w:rsid w:val="003B4AA0"/>
    <w:rsid w:val="003B4C03"/>
    <w:rsid w:val="003B539C"/>
    <w:rsid w:val="003B54C7"/>
    <w:rsid w:val="003B561F"/>
    <w:rsid w:val="003C3A6E"/>
    <w:rsid w:val="003C701E"/>
    <w:rsid w:val="003D1689"/>
    <w:rsid w:val="003D1B24"/>
    <w:rsid w:val="003D2F4C"/>
    <w:rsid w:val="003D32B0"/>
    <w:rsid w:val="003E33A1"/>
    <w:rsid w:val="003E51A0"/>
    <w:rsid w:val="003E63E2"/>
    <w:rsid w:val="003E6F60"/>
    <w:rsid w:val="003E785C"/>
    <w:rsid w:val="003E7F14"/>
    <w:rsid w:val="003F04B1"/>
    <w:rsid w:val="003F5626"/>
    <w:rsid w:val="003F73AF"/>
    <w:rsid w:val="003F750E"/>
    <w:rsid w:val="0040390E"/>
    <w:rsid w:val="00404486"/>
    <w:rsid w:val="004046DC"/>
    <w:rsid w:val="004056CF"/>
    <w:rsid w:val="00405EDA"/>
    <w:rsid w:val="004112FD"/>
    <w:rsid w:val="004125A8"/>
    <w:rsid w:val="00415EC6"/>
    <w:rsid w:val="004203DE"/>
    <w:rsid w:val="00420E8F"/>
    <w:rsid w:val="00424781"/>
    <w:rsid w:val="0042601D"/>
    <w:rsid w:val="00436C84"/>
    <w:rsid w:val="00437165"/>
    <w:rsid w:val="00437F56"/>
    <w:rsid w:val="0044319B"/>
    <w:rsid w:val="004431A0"/>
    <w:rsid w:val="004443D6"/>
    <w:rsid w:val="00444A6D"/>
    <w:rsid w:val="00446766"/>
    <w:rsid w:val="00451F96"/>
    <w:rsid w:val="00455E49"/>
    <w:rsid w:val="004562CF"/>
    <w:rsid w:val="00461311"/>
    <w:rsid w:val="00463080"/>
    <w:rsid w:val="004654C8"/>
    <w:rsid w:val="004726F5"/>
    <w:rsid w:val="00472766"/>
    <w:rsid w:val="00472D2A"/>
    <w:rsid w:val="00473D6F"/>
    <w:rsid w:val="00474805"/>
    <w:rsid w:val="004752FB"/>
    <w:rsid w:val="00475694"/>
    <w:rsid w:val="0047707A"/>
    <w:rsid w:val="004817B9"/>
    <w:rsid w:val="00482A02"/>
    <w:rsid w:val="00484D2B"/>
    <w:rsid w:val="00492EBF"/>
    <w:rsid w:val="0049367A"/>
    <w:rsid w:val="00495632"/>
    <w:rsid w:val="004A534B"/>
    <w:rsid w:val="004A6435"/>
    <w:rsid w:val="004A7327"/>
    <w:rsid w:val="004B0D09"/>
    <w:rsid w:val="004B4D2B"/>
    <w:rsid w:val="004B66EC"/>
    <w:rsid w:val="004C19D4"/>
    <w:rsid w:val="004C6E8B"/>
    <w:rsid w:val="004C73E4"/>
    <w:rsid w:val="004D0CC3"/>
    <w:rsid w:val="004D1FE4"/>
    <w:rsid w:val="004D3A09"/>
    <w:rsid w:val="004D4B50"/>
    <w:rsid w:val="004E272C"/>
    <w:rsid w:val="004E2A53"/>
    <w:rsid w:val="004F6DCF"/>
    <w:rsid w:val="004F7EA0"/>
    <w:rsid w:val="00500358"/>
    <w:rsid w:val="00500C52"/>
    <w:rsid w:val="00502487"/>
    <w:rsid w:val="0050379E"/>
    <w:rsid w:val="005046BA"/>
    <w:rsid w:val="00510DDD"/>
    <w:rsid w:val="00511F79"/>
    <w:rsid w:val="00517B24"/>
    <w:rsid w:val="00520486"/>
    <w:rsid w:val="00521A8A"/>
    <w:rsid w:val="005227F6"/>
    <w:rsid w:val="00525ABD"/>
    <w:rsid w:val="005370EB"/>
    <w:rsid w:val="005446D1"/>
    <w:rsid w:val="0054655B"/>
    <w:rsid w:val="00551602"/>
    <w:rsid w:val="00551ECC"/>
    <w:rsid w:val="00553098"/>
    <w:rsid w:val="00554F45"/>
    <w:rsid w:val="00557E39"/>
    <w:rsid w:val="00561EE5"/>
    <w:rsid w:val="00562F97"/>
    <w:rsid w:val="005647AA"/>
    <w:rsid w:val="0056597E"/>
    <w:rsid w:val="0056695F"/>
    <w:rsid w:val="005703A7"/>
    <w:rsid w:val="00571B34"/>
    <w:rsid w:val="005723D1"/>
    <w:rsid w:val="00572556"/>
    <w:rsid w:val="005725DE"/>
    <w:rsid w:val="00586089"/>
    <w:rsid w:val="005907F2"/>
    <w:rsid w:val="0059130F"/>
    <w:rsid w:val="00591B2B"/>
    <w:rsid w:val="00592613"/>
    <w:rsid w:val="0059574D"/>
    <w:rsid w:val="0059590D"/>
    <w:rsid w:val="00596DD2"/>
    <w:rsid w:val="00597C6C"/>
    <w:rsid w:val="005A0277"/>
    <w:rsid w:val="005A2316"/>
    <w:rsid w:val="005A3F29"/>
    <w:rsid w:val="005A71F1"/>
    <w:rsid w:val="005B0C10"/>
    <w:rsid w:val="005B1BC3"/>
    <w:rsid w:val="005B1EDD"/>
    <w:rsid w:val="005B24EE"/>
    <w:rsid w:val="005B4555"/>
    <w:rsid w:val="005B724C"/>
    <w:rsid w:val="005B7405"/>
    <w:rsid w:val="005C037D"/>
    <w:rsid w:val="005C0741"/>
    <w:rsid w:val="005C220A"/>
    <w:rsid w:val="005C3080"/>
    <w:rsid w:val="005C380C"/>
    <w:rsid w:val="005C62A7"/>
    <w:rsid w:val="005D01EA"/>
    <w:rsid w:val="005D3A61"/>
    <w:rsid w:val="005D43AB"/>
    <w:rsid w:val="005D525B"/>
    <w:rsid w:val="005D56A0"/>
    <w:rsid w:val="005D5E1D"/>
    <w:rsid w:val="005D7341"/>
    <w:rsid w:val="005D7531"/>
    <w:rsid w:val="005E15E5"/>
    <w:rsid w:val="005E317F"/>
    <w:rsid w:val="005E4369"/>
    <w:rsid w:val="005E4B37"/>
    <w:rsid w:val="005F143D"/>
    <w:rsid w:val="005F49B3"/>
    <w:rsid w:val="005F5D7D"/>
    <w:rsid w:val="005F5DF9"/>
    <w:rsid w:val="005F6855"/>
    <w:rsid w:val="006025B7"/>
    <w:rsid w:val="00602A3A"/>
    <w:rsid w:val="00605993"/>
    <w:rsid w:val="00612992"/>
    <w:rsid w:val="006301DA"/>
    <w:rsid w:val="00630732"/>
    <w:rsid w:val="00634086"/>
    <w:rsid w:val="00636DC2"/>
    <w:rsid w:val="006374B5"/>
    <w:rsid w:val="00643739"/>
    <w:rsid w:val="00645DE4"/>
    <w:rsid w:val="0065003F"/>
    <w:rsid w:val="00651D74"/>
    <w:rsid w:val="00652F4E"/>
    <w:rsid w:val="00653CD3"/>
    <w:rsid w:val="006575A8"/>
    <w:rsid w:val="00660FD8"/>
    <w:rsid w:val="00671126"/>
    <w:rsid w:val="00671C95"/>
    <w:rsid w:val="00673932"/>
    <w:rsid w:val="006751C5"/>
    <w:rsid w:val="00675223"/>
    <w:rsid w:val="006763BE"/>
    <w:rsid w:val="00681A5E"/>
    <w:rsid w:val="00682042"/>
    <w:rsid w:val="00684D5F"/>
    <w:rsid w:val="00692CED"/>
    <w:rsid w:val="0069364F"/>
    <w:rsid w:val="00695A7C"/>
    <w:rsid w:val="00697743"/>
    <w:rsid w:val="006A201E"/>
    <w:rsid w:val="006B2208"/>
    <w:rsid w:val="006B2224"/>
    <w:rsid w:val="006B2408"/>
    <w:rsid w:val="006B4CC9"/>
    <w:rsid w:val="006C1EFC"/>
    <w:rsid w:val="006C33CB"/>
    <w:rsid w:val="006C5710"/>
    <w:rsid w:val="006C785A"/>
    <w:rsid w:val="006D0C8C"/>
    <w:rsid w:val="006D21C7"/>
    <w:rsid w:val="006D36B4"/>
    <w:rsid w:val="006D70EF"/>
    <w:rsid w:val="006E015C"/>
    <w:rsid w:val="006E23C7"/>
    <w:rsid w:val="006E5DD8"/>
    <w:rsid w:val="006E7753"/>
    <w:rsid w:val="006E7D7E"/>
    <w:rsid w:val="006F0051"/>
    <w:rsid w:val="006F1445"/>
    <w:rsid w:val="006F1E99"/>
    <w:rsid w:val="006F2031"/>
    <w:rsid w:val="006F3E19"/>
    <w:rsid w:val="006F4565"/>
    <w:rsid w:val="006F677F"/>
    <w:rsid w:val="006F71BF"/>
    <w:rsid w:val="0070345E"/>
    <w:rsid w:val="00703CCD"/>
    <w:rsid w:val="00703D1E"/>
    <w:rsid w:val="00706893"/>
    <w:rsid w:val="0070724E"/>
    <w:rsid w:val="007077E7"/>
    <w:rsid w:val="00710A0A"/>
    <w:rsid w:val="00713405"/>
    <w:rsid w:val="00715959"/>
    <w:rsid w:val="00716AAD"/>
    <w:rsid w:val="007247C8"/>
    <w:rsid w:val="007306B5"/>
    <w:rsid w:val="007309BE"/>
    <w:rsid w:val="0073244C"/>
    <w:rsid w:val="007325A8"/>
    <w:rsid w:val="007344E1"/>
    <w:rsid w:val="007352F5"/>
    <w:rsid w:val="00740062"/>
    <w:rsid w:val="0074016E"/>
    <w:rsid w:val="00741488"/>
    <w:rsid w:val="00741F58"/>
    <w:rsid w:val="0074623E"/>
    <w:rsid w:val="00750D99"/>
    <w:rsid w:val="00752972"/>
    <w:rsid w:val="00755A46"/>
    <w:rsid w:val="00756450"/>
    <w:rsid w:val="00756AFC"/>
    <w:rsid w:val="00756CE9"/>
    <w:rsid w:val="00767667"/>
    <w:rsid w:val="00774730"/>
    <w:rsid w:val="00780209"/>
    <w:rsid w:val="00780FA7"/>
    <w:rsid w:val="00783AB7"/>
    <w:rsid w:val="0078491F"/>
    <w:rsid w:val="00786483"/>
    <w:rsid w:val="00787FF1"/>
    <w:rsid w:val="00792994"/>
    <w:rsid w:val="00794A80"/>
    <w:rsid w:val="00795D71"/>
    <w:rsid w:val="007A0FBF"/>
    <w:rsid w:val="007A1584"/>
    <w:rsid w:val="007A2C30"/>
    <w:rsid w:val="007A6FCE"/>
    <w:rsid w:val="007B36CC"/>
    <w:rsid w:val="007B49C4"/>
    <w:rsid w:val="007C0C70"/>
    <w:rsid w:val="007C1BDB"/>
    <w:rsid w:val="007C36E0"/>
    <w:rsid w:val="007C582D"/>
    <w:rsid w:val="007C7C9B"/>
    <w:rsid w:val="007D39C3"/>
    <w:rsid w:val="007D4BE9"/>
    <w:rsid w:val="007D4FA9"/>
    <w:rsid w:val="007E07A5"/>
    <w:rsid w:val="007F2334"/>
    <w:rsid w:val="007F3F3C"/>
    <w:rsid w:val="007F705F"/>
    <w:rsid w:val="00800E58"/>
    <w:rsid w:val="00806390"/>
    <w:rsid w:val="00807738"/>
    <w:rsid w:val="00807D0D"/>
    <w:rsid w:val="00810DCD"/>
    <w:rsid w:val="0081406F"/>
    <w:rsid w:val="00815ABC"/>
    <w:rsid w:val="0082360C"/>
    <w:rsid w:val="00824014"/>
    <w:rsid w:val="00825F74"/>
    <w:rsid w:val="00835389"/>
    <w:rsid w:val="00837186"/>
    <w:rsid w:val="00840267"/>
    <w:rsid w:val="00846701"/>
    <w:rsid w:val="00846E36"/>
    <w:rsid w:val="00854B54"/>
    <w:rsid w:val="008555C2"/>
    <w:rsid w:val="008566F8"/>
    <w:rsid w:val="0085690A"/>
    <w:rsid w:val="0086159E"/>
    <w:rsid w:val="00862E08"/>
    <w:rsid w:val="008667C0"/>
    <w:rsid w:val="00867DB0"/>
    <w:rsid w:val="00873A5F"/>
    <w:rsid w:val="0087422D"/>
    <w:rsid w:val="00874EDA"/>
    <w:rsid w:val="00876055"/>
    <w:rsid w:val="0088430D"/>
    <w:rsid w:val="00885103"/>
    <w:rsid w:val="008919CA"/>
    <w:rsid w:val="008927F4"/>
    <w:rsid w:val="008A0CB1"/>
    <w:rsid w:val="008A1B6F"/>
    <w:rsid w:val="008A1EAF"/>
    <w:rsid w:val="008A344A"/>
    <w:rsid w:val="008A57D8"/>
    <w:rsid w:val="008A763D"/>
    <w:rsid w:val="008B0011"/>
    <w:rsid w:val="008B33A2"/>
    <w:rsid w:val="008B454A"/>
    <w:rsid w:val="008B4685"/>
    <w:rsid w:val="008B73B3"/>
    <w:rsid w:val="008B76F6"/>
    <w:rsid w:val="008C1CE0"/>
    <w:rsid w:val="008C41C4"/>
    <w:rsid w:val="008D0597"/>
    <w:rsid w:val="008D0760"/>
    <w:rsid w:val="008D2D1F"/>
    <w:rsid w:val="008D62A6"/>
    <w:rsid w:val="008D68D1"/>
    <w:rsid w:val="008D71D9"/>
    <w:rsid w:val="008E287A"/>
    <w:rsid w:val="008E2914"/>
    <w:rsid w:val="008F5659"/>
    <w:rsid w:val="008F6D35"/>
    <w:rsid w:val="008F6F84"/>
    <w:rsid w:val="008F74AD"/>
    <w:rsid w:val="00902098"/>
    <w:rsid w:val="00903E97"/>
    <w:rsid w:val="0091294A"/>
    <w:rsid w:val="00917BB5"/>
    <w:rsid w:val="00920EE3"/>
    <w:rsid w:val="00921CDD"/>
    <w:rsid w:val="00924789"/>
    <w:rsid w:val="00925359"/>
    <w:rsid w:val="00926620"/>
    <w:rsid w:val="00926864"/>
    <w:rsid w:val="009274B4"/>
    <w:rsid w:val="00930AC3"/>
    <w:rsid w:val="00937A36"/>
    <w:rsid w:val="00941B75"/>
    <w:rsid w:val="009421E3"/>
    <w:rsid w:val="00943787"/>
    <w:rsid w:val="00943E5B"/>
    <w:rsid w:val="00944BCA"/>
    <w:rsid w:val="009458EF"/>
    <w:rsid w:val="009509F6"/>
    <w:rsid w:val="0095365C"/>
    <w:rsid w:val="00957C4D"/>
    <w:rsid w:val="00964B45"/>
    <w:rsid w:val="00964E48"/>
    <w:rsid w:val="00965D07"/>
    <w:rsid w:val="00967F13"/>
    <w:rsid w:val="00970C88"/>
    <w:rsid w:val="00972947"/>
    <w:rsid w:val="00972DDC"/>
    <w:rsid w:val="00975C18"/>
    <w:rsid w:val="00975C77"/>
    <w:rsid w:val="00975E67"/>
    <w:rsid w:val="00980939"/>
    <w:rsid w:val="00981F85"/>
    <w:rsid w:val="00985AC3"/>
    <w:rsid w:val="00991239"/>
    <w:rsid w:val="00991874"/>
    <w:rsid w:val="00994B77"/>
    <w:rsid w:val="00994C34"/>
    <w:rsid w:val="00995D34"/>
    <w:rsid w:val="009A0CEC"/>
    <w:rsid w:val="009A28F6"/>
    <w:rsid w:val="009A2F25"/>
    <w:rsid w:val="009A7883"/>
    <w:rsid w:val="009B07F3"/>
    <w:rsid w:val="009B0F83"/>
    <w:rsid w:val="009B57FE"/>
    <w:rsid w:val="009B6C5B"/>
    <w:rsid w:val="009B782F"/>
    <w:rsid w:val="009C501F"/>
    <w:rsid w:val="009C580B"/>
    <w:rsid w:val="009C785B"/>
    <w:rsid w:val="009D0E93"/>
    <w:rsid w:val="009D1187"/>
    <w:rsid w:val="009D66AC"/>
    <w:rsid w:val="009D6D22"/>
    <w:rsid w:val="009E2B5D"/>
    <w:rsid w:val="009E3BF0"/>
    <w:rsid w:val="009E50F4"/>
    <w:rsid w:val="009E57C2"/>
    <w:rsid w:val="009E6F76"/>
    <w:rsid w:val="009F146A"/>
    <w:rsid w:val="009F1F1E"/>
    <w:rsid w:val="009F3CE5"/>
    <w:rsid w:val="009F6DE9"/>
    <w:rsid w:val="00A02062"/>
    <w:rsid w:val="00A02BDC"/>
    <w:rsid w:val="00A03BF3"/>
    <w:rsid w:val="00A07031"/>
    <w:rsid w:val="00A1457A"/>
    <w:rsid w:val="00A1796D"/>
    <w:rsid w:val="00A2328F"/>
    <w:rsid w:val="00A26620"/>
    <w:rsid w:val="00A278D9"/>
    <w:rsid w:val="00A32FE6"/>
    <w:rsid w:val="00A330DB"/>
    <w:rsid w:val="00A33882"/>
    <w:rsid w:val="00A378DE"/>
    <w:rsid w:val="00A37E87"/>
    <w:rsid w:val="00A43680"/>
    <w:rsid w:val="00A56281"/>
    <w:rsid w:val="00A600DE"/>
    <w:rsid w:val="00A605E1"/>
    <w:rsid w:val="00A642C6"/>
    <w:rsid w:val="00A75F96"/>
    <w:rsid w:val="00A77516"/>
    <w:rsid w:val="00A817BE"/>
    <w:rsid w:val="00A82BA3"/>
    <w:rsid w:val="00A844E2"/>
    <w:rsid w:val="00A87280"/>
    <w:rsid w:val="00A92D08"/>
    <w:rsid w:val="00A938E1"/>
    <w:rsid w:val="00A963FA"/>
    <w:rsid w:val="00AA035B"/>
    <w:rsid w:val="00AA0F8F"/>
    <w:rsid w:val="00AA12D8"/>
    <w:rsid w:val="00AB463E"/>
    <w:rsid w:val="00AB6024"/>
    <w:rsid w:val="00AB69C0"/>
    <w:rsid w:val="00AB799F"/>
    <w:rsid w:val="00AC25AD"/>
    <w:rsid w:val="00AC322C"/>
    <w:rsid w:val="00AC34AD"/>
    <w:rsid w:val="00AC4F69"/>
    <w:rsid w:val="00AC707B"/>
    <w:rsid w:val="00AC7EB4"/>
    <w:rsid w:val="00AD0E62"/>
    <w:rsid w:val="00AD0EAD"/>
    <w:rsid w:val="00AD2351"/>
    <w:rsid w:val="00AD390F"/>
    <w:rsid w:val="00AD479D"/>
    <w:rsid w:val="00AD4C02"/>
    <w:rsid w:val="00AD5C92"/>
    <w:rsid w:val="00AD61FA"/>
    <w:rsid w:val="00AD643F"/>
    <w:rsid w:val="00AD6B13"/>
    <w:rsid w:val="00AD729D"/>
    <w:rsid w:val="00AE0246"/>
    <w:rsid w:val="00AE0BFC"/>
    <w:rsid w:val="00AE132C"/>
    <w:rsid w:val="00AE1990"/>
    <w:rsid w:val="00AE26C5"/>
    <w:rsid w:val="00AE2AFB"/>
    <w:rsid w:val="00AE4078"/>
    <w:rsid w:val="00AF07DE"/>
    <w:rsid w:val="00AF364C"/>
    <w:rsid w:val="00AF70A7"/>
    <w:rsid w:val="00B00769"/>
    <w:rsid w:val="00B02346"/>
    <w:rsid w:val="00B0764C"/>
    <w:rsid w:val="00B15DC5"/>
    <w:rsid w:val="00B215DA"/>
    <w:rsid w:val="00B23136"/>
    <w:rsid w:val="00B23BFF"/>
    <w:rsid w:val="00B2472F"/>
    <w:rsid w:val="00B30F16"/>
    <w:rsid w:val="00B32FAE"/>
    <w:rsid w:val="00B333B2"/>
    <w:rsid w:val="00B33548"/>
    <w:rsid w:val="00B37BE2"/>
    <w:rsid w:val="00B37CE3"/>
    <w:rsid w:val="00B419F5"/>
    <w:rsid w:val="00B422A4"/>
    <w:rsid w:val="00B46730"/>
    <w:rsid w:val="00B46980"/>
    <w:rsid w:val="00B47711"/>
    <w:rsid w:val="00B52CAC"/>
    <w:rsid w:val="00B5361B"/>
    <w:rsid w:val="00B549C6"/>
    <w:rsid w:val="00B574DC"/>
    <w:rsid w:val="00B6060B"/>
    <w:rsid w:val="00B60B63"/>
    <w:rsid w:val="00B65FF0"/>
    <w:rsid w:val="00B66136"/>
    <w:rsid w:val="00B66354"/>
    <w:rsid w:val="00B6637C"/>
    <w:rsid w:val="00B67CFB"/>
    <w:rsid w:val="00B71341"/>
    <w:rsid w:val="00B71919"/>
    <w:rsid w:val="00B81536"/>
    <w:rsid w:val="00B81C54"/>
    <w:rsid w:val="00B82524"/>
    <w:rsid w:val="00B82E1E"/>
    <w:rsid w:val="00B82FB0"/>
    <w:rsid w:val="00B837D8"/>
    <w:rsid w:val="00B86BF9"/>
    <w:rsid w:val="00B9033E"/>
    <w:rsid w:val="00B90CF7"/>
    <w:rsid w:val="00B97FCF"/>
    <w:rsid w:val="00BA078E"/>
    <w:rsid w:val="00BA1934"/>
    <w:rsid w:val="00BA4BBE"/>
    <w:rsid w:val="00BA6AA8"/>
    <w:rsid w:val="00BA7929"/>
    <w:rsid w:val="00BB14B8"/>
    <w:rsid w:val="00BB14BD"/>
    <w:rsid w:val="00BB2616"/>
    <w:rsid w:val="00BB3945"/>
    <w:rsid w:val="00BB3E45"/>
    <w:rsid w:val="00BB541B"/>
    <w:rsid w:val="00BB5AEB"/>
    <w:rsid w:val="00BC0C48"/>
    <w:rsid w:val="00BC70DD"/>
    <w:rsid w:val="00BD1770"/>
    <w:rsid w:val="00BD742A"/>
    <w:rsid w:val="00BE2C70"/>
    <w:rsid w:val="00BE51E0"/>
    <w:rsid w:val="00BE59A7"/>
    <w:rsid w:val="00BE5A49"/>
    <w:rsid w:val="00BE7E0E"/>
    <w:rsid w:val="00BF0F31"/>
    <w:rsid w:val="00BF1213"/>
    <w:rsid w:val="00BF745F"/>
    <w:rsid w:val="00C02298"/>
    <w:rsid w:val="00C11ACB"/>
    <w:rsid w:val="00C13557"/>
    <w:rsid w:val="00C20AE3"/>
    <w:rsid w:val="00C25AA0"/>
    <w:rsid w:val="00C3498B"/>
    <w:rsid w:val="00C34B1F"/>
    <w:rsid w:val="00C34D50"/>
    <w:rsid w:val="00C364DD"/>
    <w:rsid w:val="00C3798E"/>
    <w:rsid w:val="00C37BC3"/>
    <w:rsid w:val="00C37D20"/>
    <w:rsid w:val="00C42CC4"/>
    <w:rsid w:val="00C44C19"/>
    <w:rsid w:val="00C46E85"/>
    <w:rsid w:val="00C5304C"/>
    <w:rsid w:val="00C55873"/>
    <w:rsid w:val="00C62005"/>
    <w:rsid w:val="00C63848"/>
    <w:rsid w:val="00C729F0"/>
    <w:rsid w:val="00C73D59"/>
    <w:rsid w:val="00C80995"/>
    <w:rsid w:val="00C80E10"/>
    <w:rsid w:val="00C8283C"/>
    <w:rsid w:val="00C834D3"/>
    <w:rsid w:val="00C83C85"/>
    <w:rsid w:val="00C8676C"/>
    <w:rsid w:val="00C8748D"/>
    <w:rsid w:val="00C87B9D"/>
    <w:rsid w:val="00C92967"/>
    <w:rsid w:val="00C92D01"/>
    <w:rsid w:val="00C934D1"/>
    <w:rsid w:val="00C94694"/>
    <w:rsid w:val="00C95CFB"/>
    <w:rsid w:val="00C96070"/>
    <w:rsid w:val="00C9741B"/>
    <w:rsid w:val="00CA33A0"/>
    <w:rsid w:val="00CB2C2F"/>
    <w:rsid w:val="00CB68A8"/>
    <w:rsid w:val="00CB7C25"/>
    <w:rsid w:val="00CC6A6B"/>
    <w:rsid w:val="00CD0B2A"/>
    <w:rsid w:val="00CD59C5"/>
    <w:rsid w:val="00CD5B63"/>
    <w:rsid w:val="00CD6D98"/>
    <w:rsid w:val="00CE07D1"/>
    <w:rsid w:val="00CE208D"/>
    <w:rsid w:val="00CE7371"/>
    <w:rsid w:val="00CF68BF"/>
    <w:rsid w:val="00D01D95"/>
    <w:rsid w:val="00D02158"/>
    <w:rsid w:val="00D04002"/>
    <w:rsid w:val="00D04527"/>
    <w:rsid w:val="00D110F9"/>
    <w:rsid w:val="00D1352D"/>
    <w:rsid w:val="00D17D75"/>
    <w:rsid w:val="00D310D0"/>
    <w:rsid w:val="00D31968"/>
    <w:rsid w:val="00D31A9A"/>
    <w:rsid w:val="00D334C5"/>
    <w:rsid w:val="00D3453E"/>
    <w:rsid w:val="00D4402D"/>
    <w:rsid w:val="00D440ED"/>
    <w:rsid w:val="00D45BA1"/>
    <w:rsid w:val="00D46D5E"/>
    <w:rsid w:val="00D50058"/>
    <w:rsid w:val="00D5037A"/>
    <w:rsid w:val="00D61943"/>
    <w:rsid w:val="00D634B6"/>
    <w:rsid w:val="00D6495A"/>
    <w:rsid w:val="00D67E75"/>
    <w:rsid w:val="00D74C11"/>
    <w:rsid w:val="00D7633F"/>
    <w:rsid w:val="00D7657B"/>
    <w:rsid w:val="00D80CA6"/>
    <w:rsid w:val="00D85957"/>
    <w:rsid w:val="00D916EA"/>
    <w:rsid w:val="00D94A5F"/>
    <w:rsid w:val="00DA0D50"/>
    <w:rsid w:val="00DA364A"/>
    <w:rsid w:val="00DA6A49"/>
    <w:rsid w:val="00DB0CBC"/>
    <w:rsid w:val="00DB2322"/>
    <w:rsid w:val="00DB2FB9"/>
    <w:rsid w:val="00DB4984"/>
    <w:rsid w:val="00DB514B"/>
    <w:rsid w:val="00DB69BE"/>
    <w:rsid w:val="00DC553C"/>
    <w:rsid w:val="00DD5041"/>
    <w:rsid w:val="00DD7FFC"/>
    <w:rsid w:val="00DE0E82"/>
    <w:rsid w:val="00DE1EE3"/>
    <w:rsid w:val="00DE20F0"/>
    <w:rsid w:val="00DE2AAE"/>
    <w:rsid w:val="00DE37DA"/>
    <w:rsid w:val="00DE5122"/>
    <w:rsid w:val="00DE71C9"/>
    <w:rsid w:val="00DE7514"/>
    <w:rsid w:val="00DF2141"/>
    <w:rsid w:val="00DF31E3"/>
    <w:rsid w:val="00DF3B1F"/>
    <w:rsid w:val="00DF47A2"/>
    <w:rsid w:val="00DF7612"/>
    <w:rsid w:val="00E00D7B"/>
    <w:rsid w:val="00E05F69"/>
    <w:rsid w:val="00E07079"/>
    <w:rsid w:val="00E07333"/>
    <w:rsid w:val="00E123B6"/>
    <w:rsid w:val="00E15697"/>
    <w:rsid w:val="00E167E8"/>
    <w:rsid w:val="00E21532"/>
    <w:rsid w:val="00E23AB6"/>
    <w:rsid w:val="00E24587"/>
    <w:rsid w:val="00E26EFD"/>
    <w:rsid w:val="00E2775E"/>
    <w:rsid w:val="00E31B45"/>
    <w:rsid w:val="00E333E9"/>
    <w:rsid w:val="00E34F7C"/>
    <w:rsid w:val="00E35204"/>
    <w:rsid w:val="00E40D43"/>
    <w:rsid w:val="00E41421"/>
    <w:rsid w:val="00E42F2A"/>
    <w:rsid w:val="00E4434C"/>
    <w:rsid w:val="00E57C34"/>
    <w:rsid w:val="00E60A88"/>
    <w:rsid w:val="00E65ADB"/>
    <w:rsid w:val="00E67944"/>
    <w:rsid w:val="00E67AAE"/>
    <w:rsid w:val="00E71618"/>
    <w:rsid w:val="00E72636"/>
    <w:rsid w:val="00E800E0"/>
    <w:rsid w:val="00E82F17"/>
    <w:rsid w:val="00E903F5"/>
    <w:rsid w:val="00E93C58"/>
    <w:rsid w:val="00E946F3"/>
    <w:rsid w:val="00E955F1"/>
    <w:rsid w:val="00E956B3"/>
    <w:rsid w:val="00E96C2E"/>
    <w:rsid w:val="00EA3C9B"/>
    <w:rsid w:val="00EA43E3"/>
    <w:rsid w:val="00EB2DF8"/>
    <w:rsid w:val="00EC222B"/>
    <w:rsid w:val="00EC5CAB"/>
    <w:rsid w:val="00EC5FFD"/>
    <w:rsid w:val="00EC6E72"/>
    <w:rsid w:val="00EC70BC"/>
    <w:rsid w:val="00ED062A"/>
    <w:rsid w:val="00EE1D71"/>
    <w:rsid w:val="00EF0A20"/>
    <w:rsid w:val="00EF0E21"/>
    <w:rsid w:val="00EF1DE8"/>
    <w:rsid w:val="00F00AE6"/>
    <w:rsid w:val="00F03AA7"/>
    <w:rsid w:val="00F03ADE"/>
    <w:rsid w:val="00F051F6"/>
    <w:rsid w:val="00F05ECC"/>
    <w:rsid w:val="00F11C2B"/>
    <w:rsid w:val="00F25365"/>
    <w:rsid w:val="00F264A7"/>
    <w:rsid w:val="00F27B28"/>
    <w:rsid w:val="00F27D74"/>
    <w:rsid w:val="00F37D15"/>
    <w:rsid w:val="00F42265"/>
    <w:rsid w:val="00F42757"/>
    <w:rsid w:val="00F42EE6"/>
    <w:rsid w:val="00F45F16"/>
    <w:rsid w:val="00F468F9"/>
    <w:rsid w:val="00F4798C"/>
    <w:rsid w:val="00F50A3A"/>
    <w:rsid w:val="00F51314"/>
    <w:rsid w:val="00F526C7"/>
    <w:rsid w:val="00F555F3"/>
    <w:rsid w:val="00F611EA"/>
    <w:rsid w:val="00F61FB6"/>
    <w:rsid w:val="00F648B6"/>
    <w:rsid w:val="00F66EAC"/>
    <w:rsid w:val="00F66FB0"/>
    <w:rsid w:val="00F67B85"/>
    <w:rsid w:val="00F70C26"/>
    <w:rsid w:val="00F71A52"/>
    <w:rsid w:val="00F746A7"/>
    <w:rsid w:val="00F76ACC"/>
    <w:rsid w:val="00F82663"/>
    <w:rsid w:val="00F87230"/>
    <w:rsid w:val="00F87A61"/>
    <w:rsid w:val="00F91696"/>
    <w:rsid w:val="00F92C41"/>
    <w:rsid w:val="00F96747"/>
    <w:rsid w:val="00F97ABB"/>
    <w:rsid w:val="00FA0638"/>
    <w:rsid w:val="00FA21DE"/>
    <w:rsid w:val="00FA4F6A"/>
    <w:rsid w:val="00FA5031"/>
    <w:rsid w:val="00FB1ACC"/>
    <w:rsid w:val="00FB3467"/>
    <w:rsid w:val="00FB5A7D"/>
    <w:rsid w:val="00FB677F"/>
    <w:rsid w:val="00FB7391"/>
    <w:rsid w:val="00FC1795"/>
    <w:rsid w:val="00FD0F83"/>
    <w:rsid w:val="00FD49A9"/>
    <w:rsid w:val="00FD7C7A"/>
    <w:rsid w:val="00FE10F4"/>
    <w:rsid w:val="00FE3503"/>
    <w:rsid w:val="00FE7430"/>
    <w:rsid w:val="00FE7EA9"/>
    <w:rsid w:val="00FF0C0B"/>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metricconverter"/>
  <w:smartTagType w:namespaceuri="urn:schemas-microsoft-com:office:smarttags" w:name="date"/>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55"/>
    <w:rPr>
      <w:sz w:val="24"/>
      <w:lang w:val="en-CA" w:eastAsia="en-US"/>
    </w:rPr>
  </w:style>
  <w:style w:type="paragraph" w:styleId="Heading1">
    <w:name w:val="heading 1"/>
    <w:basedOn w:val="Normal"/>
    <w:next w:val="Normal"/>
    <w:qFormat/>
    <w:rsid w:val="00242D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2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C34"/>
    <w:pPr>
      <w:spacing w:after="120" w:line="480" w:lineRule="auto"/>
      <w:ind w:firstLine="720"/>
    </w:pPr>
  </w:style>
  <w:style w:type="paragraph" w:styleId="FootnoteText">
    <w:name w:val="footnote text"/>
    <w:basedOn w:val="Normal"/>
    <w:semiHidden/>
    <w:rsid w:val="00242D55"/>
    <w:rPr>
      <w:sz w:val="20"/>
    </w:rPr>
  </w:style>
  <w:style w:type="character" w:styleId="FootnoteReference">
    <w:name w:val="footnote reference"/>
    <w:basedOn w:val="DefaultParagraphFont"/>
    <w:semiHidden/>
    <w:rsid w:val="00242D55"/>
    <w:rPr>
      <w:rFonts w:cs="Times New Roman"/>
      <w:vertAlign w:val="superscript"/>
    </w:rPr>
  </w:style>
  <w:style w:type="paragraph" w:styleId="Title">
    <w:name w:val="Title"/>
    <w:basedOn w:val="Normal"/>
    <w:qFormat/>
    <w:rsid w:val="00242D55"/>
    <w:pPr>
      <w:spacing w:before="240" w:after="60"/>
      <w:jc w:val="center"/>
      <w:outlineLvl w:val="0"/>
    </w:pPr>
    <w:rPr>
      <w:rFonts w:ascii="Arial" w:hAnsi="Arial" w:cs="Arial"/>
      <w:b/>
      <w:bCs/>
      <w:kern w:val="28"/>
      <w:sz w:val="32"/>
      <w:szCs w:val="32"/>
    </w:rPr>
  </w:style>
  <w:style w:type="paragraph" w:customStyle="1" w:styleId="Reference">
    <w:name w:val="Reference"/>
    <w:basedOn w:val="NormalWeb"/>
    <w:rsid w:val="00242D55"/>
    <w:pPr>
      <w:spacing w:before="100" w:after="100" w:line="480" w:lineRule="auto"/>
      <w:ind w:left="720" w:hanging="720"/>
    </w:pPr>
    <w:rPr>
      <w:rFonts w:eastAsia="SimSun"/>
      <w:szCs w:val="20"/>
    </w:rPr>
  </w:style>
  <w:style w:type="paragraph" w:styleId="NormalWeb">
    <w:name w:val="Normal (Web)"/>
    <w:basedOn w:val="Normal"/>
    <w:rsid w:val="00242D55"/>
    <w:rPr>
      <w:szCs w:val="24"/>
    </w:rPr>
  </w:style>
  <w:style w:type="paragraph" w:styleId="Header">
    <w:name w:val="header"/>
    <w:basedOn w:val="Normal"/>
    <w:link w:val="HeaderChar"/>
    <w:rsid w:val="00F51314"/>
    <w:pPr>
      <w:tabs>
        <w:tab w:val="center" w:pos="4680"/>
        <w:tab w:val="right" w:pos="9360"/>
      </w:tabs>
    </w:pPr>
  </w:style>
  <w:style w:type="character" w:customStyle="1" w:styleId="HeaderChar">
    <w:name w:val="Header Char"/>
    <w:basedOn w:val="DefaultParagraphFont"/>
    <w:link w:val="Header"/>
    <w:locked/>
    <w:rsid w:val="00F51314"/>
    <w:rPr>
      <w:rFonts w:cs="Times New Roman"/>
      <w:sz w:val="24"/>
      <w:lang w:val="en-US" w:eastAsia="en-US"/>
    </w:rPr>
  </w:style>
  <w:style w:type="paragraph" w:styleId="Footer">
    <w:name w:val="footer"/>
    <w:basedOn w:val="Normal"/>
    <w:link w:val="FooterChar"/>
    <w:uiPriority w:val="99"/>
    <w:rsid w:val="00F51314"/>
    <w:pPr>
      <w:tabs>
        <w:tab w:val="center" w:pos="4680"/>
        <w:tab w:val="right" w:pos="9360"/>
      </w:tabs>
    </w:pPr>
  </w:style>
  <w:style w:type="character" w:customStyle="1" w:styleId="FooterChar">
    <w:name w:val="Footer Char"/>
    <w:basedOn w:val="DefaultParagraphFont"/>
    <w:link w:val="Footer"/>
    <w:uiPriority w:val="99"/>
    <w:locked/>
    <w:rsid w:val="00F51314"/>
    <w:rPr>
      <w:rFonts w:cs="Times New Roman"/>
      <w:sz w:val="24"/>
      <w:lang w:val="en-US" w:eastAsia="en-US"/>
    </w:rPr>
  </w:style>
  <w:style w:type="paragraph" w:styleId="BalloonText">
    <w:name w:val="Balloon Text"/>
    <w:basedOn w:val="Normal"/>
    <w:link w:val="BalloonTextChar"/>
    <w:rsid w:val="005D56A0"/>
    <w:rPr>
      <w:rFonts w:ascii="Tahoma" w:hAnsi="Tahoma" w:cs="Tahoma"/>
      <w:sz w:val="16"/>
      <w:szCs w:val="16"/>
    </w:rPr>
  </w:style>
  <w:style w:type="character" w:customStyle="1" w:styleId="BalloonTextChar">
    <w:name w:val="Balloon Text Char"/>
    <w:basedOn w:val="DefaultParagraphFont"/>
    <w:link w:val="BalloonText"/>
    <w:locked/>
    <w:rsid w:val="005D56A0"/>
    <w:rPr>
      <w:rFonts w:ascii="Tahoma" w:hAnsi="Tahoma" w:cs="Tahoma"/>
      <w:sz w:val="16"/>
      <w:szCs w:val="16"/>
    </w:rPr>
  </w:style>
  <w:style w:type="character" w:styleId="CommentReference">
    <w:name w:val="annotation reference"/>
    <w:basedOn w:val="DefaultParagraphFont"/>
    <w:rsid w:val="00FD7C7A"/>
    <w:rPr>
      <w:rFonts w:cs="Times New Roman"/>
      <w:sz w:val="16"/>
      <w:szCs w:val="16"/>
    </w:rPr>
  </w:style>
  <w:style w:type="paragraph" w:styleId="CommentText">
    <w:name w:val="annotation text"/>
    <w:basedOn w:val="Normal"/>
    <w:link w:val="CommentTextChar"/>
    <w:rsid w:val="00FD7C7A"/>
    <w:rPr>
      <w:sz w:val="20"/>
    </w:rPr>
  </w:style>
  <w:style w:type="character" w:customStyle="1" w:styleId="CommentTextChar">
    <w:name w:val="Comment Text Char"/>
    <w:basedOn w:val="DefaultParagraphFont"/>
    <w:link w:val="CommentText"/>
    <w:locked/>
    <w:rsid w:val="00FD7C7A"/>
    <w:rPr>
      <w:rFonts w:cs="Times New Roman"/>
      <w:lang w:val="en-US" w:eastAsia="en-US"/>
    </w:rPr>
  </w:style>
  <w:style w:type="paragraph" w:styleId="CommentSubject">
    <w:name w:val="annotation subject"/>
    <w:basedOn w:val="CommentText"/>
    <w:next w:val="CommentText"/>
    <w:link w:val="CommentSubjectChar"/>
    <w:rsid w:val="00FD7C7A"/>
    <w:rPr>
      <w:b/>
      <w:bCs/>
    </w:rPr>
  </w:style>
  <w:style w:type="character" w:customStyle="1" w:styleId="CommentSubjectChar">
    <w:name w:val="Comment Subject Char"/>
    <w:basedOn w:val="CommentTextChar"/>
    <w:link w:val="CommentSubject"/>
    <w:locked/>
    <w:rsid w:val="00FD7C7A"/>
    <w:rPr>
      <w:rFonts w:cs="Times New Roman"/>
      <w:b/>
      <w:bCs/>
      <w:lang w:val="en-US" w:eastAsia="en-US"/>
    </w:rPr>
  </w:style>
  <w:style w:type="character" w:styleId="Hyperlink">
    <w:name w:val="Hyperlink"/>
    <w:basedOn w:val="DefaultParagraphFont"/>
    <w:rsid w:val="00692CED"/>
    <w:rPr>
      <w:rFonts w:cs="Times New Roman"/>
      <w:color w:val="0000FF"/>
      <w:u w:val="single"/>
    </w:rPr>
  </w:style>
  <w:style w:type="paragraph" w:styleId="ListParagraph">
    <w:name w:val="List Paragraph"/>
    <w:basedOn w:val="Normal"/>
    <w:qFormat/>
    <w:rsid w:val="00755A46"/>
    <w:pPr>
      <w:spacing w:after="200" w:line="276" w:lineRule="auto"/>
      <w:ind w:left="720"/>
      <w:contextualSpacing/>
    </w:pPr>
    <w:rPr>
      <w:rFonts w:ascii="Calibri" w:hAnsi="Calibri"/>
      <w:sz w:val="22"/>
      <w:szCs w:val="22"/>
    </w:rPr>
  </w:style>
  <w:style w:type="character" w:styleId="PageNumber">
    <w:name w:val="page number"/>
    <w:basedOn w:val="DefaultParagraphFont"/>
    <w:rsid w:val="005B4555"/>
    <w:rPr>
      <w:rFonts w:cs="Times New Roman"/>
    </w:rPr>
  </w:style>
  <w:style w:type="paragraph" w:styleId="Revision">
    <w:name w:val="Revision"/>
    <w:hidden/>
    <w:semiHidden/>
    <w:rsid w:val="00201D72"/>
    <w:rPr>
      <w:sz w:val="24"/>
      <w:lang w:val="en-US" w:eastAsia="en-US"/>
    </w:rPr>
  </w:style>
  <w:style w:type="paragraph" w:styleId="DocumentMap">
    <w:name w:val="Document Map"/>
    <w:basedOn w:val="Normal"/>
    <w:link w:val="DocumentMapChar"/>
    <w:semiHidden/>
    <w:rsid w:val="003A0194"/>
    <w:rPr>
      <w:rFonts w:ascii="Tahoma" w:hAnsi="Tahoma" w:cs="Tahoma"/>
      <w:sz w:val="16"/>
      <w:szCs w:val="16"/>
    </w:rPr>
  </w:style>
  <w:style w:type="character" w:customStyle="1" w:styleId="DocumentMapChar">
    <w:name w:val="Document Map Char"/>
    <w:basedOn w:val="DefaultParagraphFont"/>
    <w:link w:val="DocumentMap"/>
    <w:semiHidden/>
    <w:locked/>
    <w:rsid w:val="003A0194"/>
    <w:rPr>
      <w:rFonts w:ascii="Tahoma" w:hAnsi="Tahoma" w:cs="Tahoma"/>
      <w:sz w:val="16"/>
      <w:szCs w:val="16"/>
    </w:rPr>
  </w:style>
  <w:style w:type="table" w:styleId="TableGrid">
    <w:name w:val="Table Grid"/>
    <w:basedOn w:val="TableNormal"/>
    <w:rsid w:val="006E7D7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55"/>
    <w:rPr>
      <w:sz w:val="24"/>
      <w:lang w:val="en-CA" w:eastAsia="en-US"/>
    </w:rPr>
  </w:style>
  <w:style w:type="paragraph" w:styleId="Heading1">
    <w:name w:val="heading 1"/>
    <w:basedOn w:val="Normal"/>
    <w:next w:val="Normal"/>
    <w:qFormat/>
    <w:rsid w:val="00242D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2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C34"/>
    <w:pPr>
      <w:spacing w:after="120" w:line="480" w:lineRule="auto"/>
      <w:ind w:firstLine="720"/>
    </w:pPr>
  </w:style>
  <w:style w:type="paragraph" w:styleId="FootnoteText">
    <w:name w:val="footnote text"/>
    <w:basedOn w:val="Normal"/>
    <w:semiHidden/>
    <w:rsid w:val="00242D55"/>
    <w:rPr>
      <w:sz w:val="20"/>
    </w:rPr>
  </w:style>
  <w:style w:type="character" w:styleId="FootnoteReference">
    <w:name w:val="footnote reference"/>
    <w:basedOn w:val="DefaultParagraphFont"/>
    <w:semiHidden/>
    <w:rsid w:val="00242D55"/>
    <w:rPr>
      <w:rFonts w:cs="Times New Roman"/>
      <w:vertAlign w:val="superscript"/>
    </w:rPr>
  </w:style>
  <w:style w:type="paragraph" w:styleId="Title">
    <w:name w:val="Title"/>
    <w:basedOn w:val="Normal"/>
    <w:qFormat/>
    <w:rsid w:val="00242D55"/>
    <w:pPr>
      <w:spacing w:before="240" w:after="60"/>
      <w:jc w:val="center"/>
      <w:outlineLvl w:val="0"/>
    </w:pPr>
    <w:rPr>
      <w:rFonts w:ascii="Arial" w:hAnsi="Arial" w:cs="Arial"/>
      <w:b/>
      <w:bCs/>
      <w:kern w:val="28"/>
      <w:sz w:val="32"/>
      <w:szCs w:val="32"/>
    </w:rPr>
  </w:style>
  <w:style w:type="paragraph" w:customStyle="1" w:styleId="Reference">
    <w:name w:val="Reference"/>
    <w:basedOn w:val="NormalWeb"/>
    <w:rsid w:val="00242D55"/>
    <w:pPr>
      <w:spacing w:before="100" w:after="100" w:line="480" w:lineRule="auto"/>
      <w:ind w:left="720" w:hanging="720"/>
    </w:pPr>
    <w:rPr>
      <w:rFonts w:eastAsia="SimSun"/>
      <w:szCs w:val="20"/>
    </w:rPr>
  </w:style>
  <w:style w:type="paragraph" w:styleId="NormalWeb">
    <w:name w:val="Normal (Web)"/>
    <w:basedOn w:val="Normal"/>
    <w:rsid w:val="00242D55"/>
    <w:rPr>
      <w:szCs w:val="24"/>
    </w:rPr>
  </w:style>
  <w:style w:type="paragraph" w:styleId="Header">
    <w:name w:val="header"/>
    <w:basedOn w:val="Normal"/>
    <w:link w:val="HeaderChar"/>
    <w:rsid w:val="00F51314"/>
    <w:pPr>
      <w:tabs>
        <w:tab w:val="center" w:pos="4680"/>
        <w:tab w:val="right" w:pos="9360"/>
      </w:tabs>
    </w:pPr>
  </w:style>
  <w:style w:type="character" w:customStyle="1" w:styleId="HeaderChar">
    <w:name w:val="Header Char"/>
    <w:basedOn w:val="DefaultParagraphFont"/>
    <w:link w:val="Header"/>
    <w:locked/>
    <w:rsid w:val="00F51314"/>
    <w:rPr>
      <w:rFonts w:cs="Times New Roman"/>
      <w:sz w:val="24"/>
      <w:lang w:val="en-US" w:eastAsia="en-US"/>
    </w:rPr>
  </w:style>
  <w:style w:type="paragraph" w:styleId="Footer">
    <w:name w:val="footer"/>
    <w:basedOn w:val="Normal"/>
    <w:link w:val="FooterChar"/>
    <w:uiPriority w:val="99"/>
    <w:rsid w:val="00F51314"/>
    <w:pPr>
      <w:tabs>
        <w:tab w:val="center" w:pos="4680"/>
        <w:tab w:val="right" w:pos="9360"/>
      </w:tabs>
    </w:pPr>
  </w:style>
  <w:style w:type="character" w:customStyle="1" w:styleId="FooterChar">
    <w:name w:val="Footer Char"/>
    <w:basedOn w:val="DefaultParagraphFont"/>
    <w:link w:val="Footer"/>
    <w:uiPriority w:val="99"/>
    <w:locked/>
    <w:rsid w:val="00F51314"/>
    <w:rPr>
      <w:rFonts w:cs="Times New Roman"/>
      <w:sz w:val="24"/>
      <w:lang w:val="en-US" w:eastAsia="en-US"/>
    </w:rPr>
  </w:style>
  <w:style w:type="paragraph" w:styleId="BalloonText">
    <w:name w:val="Balloon Text"/>
    <w:basedOn w:val="Normal"/>
    <w:link w:val="BalloonTextChar"/>
    <w:rsid w:val="005D56A0"/>
    <w:rPr>
      <w:rFonts w:ascii="Tahoma" w:hAnsi="Tahoma" w:cs="Tahoma"/>
      <w:sz w:val="16"/>
      <w:szCs w:val="16"/>
    </w:rPr>
  </w:style>
  <w:style w:type="character" w:customStyle="1" w:styleId="BalloonTextChar">
    <w:name w:val="Balloon Text Char"/>
    <w:basedOn w:val="DefaultParagraphFont"/>
    <w:link w:val="BalloonText"/>
    <w:locked/>
    <w:rsid w:val="005D56A0"/>
    <w:rPr>
      <w:rFonts w:ascii="Tahoma" w:hAnsi="Tahoma" w:cs="Tahoma"/>
      <w:sz w:val="16"/>
      <w:szCs w:val="16"/>
    </w:rPr>
  </w:style>
  <w:style w:type="character" w:styleId="CommentReference">
    <w:name w:val="annotation reference"/>
    <w:basedOn w:val="DefaultParagraphFont"/>
    <w:rsid w:val="00FD7C7A"/>
    <w:rPr>
      <w:rFonts w:cs="Times New Roman"/>
      <w:sz w:val="16"/>
      <w:szCs w:val="16"/>
    </w:rPr>
  </w:style>
  <w:style w:type="paragraph" w:styleId="CommentText">
    <w:name w:val="annotation text"/>
    <w:basedOn w:val="Normal"/>
    <w:link w:val="CommentTextChar"/>
    <w:rsid w:val="00FD7C7A"/>
    <w:rPr>
      <w:sz w:val="20"/>
    </w:rPr>
  </w:style>
  <w:style w:type="character" w:customStyle="1" w:styleId="CommentTextChar">
    <w:name w:val="Comment Text Char"/>
    <w:basedOn w:val="DefaultParagraphFont"/>
    <w:link w:val="CommentText"/>
    <w:locked/>
    <w:rsid w:val="00FD7C7A"/>
    <w:rPr>
      <w:rFonts w:cs="Times New Roman"/>
      <w:lang w:val="en-US" w:eastAsia="en-US"/>
    </w:rPr>
  </w:style>
  <w:style w:type="paragraph" w:styleId="CommentSubject">
    <w:name w:val="annotation subject"/>
    <w:basedOn w:val="CommentText"/>
    <w:next w:val="CommentText"/>
    <w:link w:val="CommentSubjectChar"/>
    <w:rsid w:val="00FD7C7A"/>
    <w:rPr>
      <w:b/>
      <w:bCs/>
    </w:rPr>
  </w:style>
  <w:style w:type="character" w:customStyle="1" w:styleId="CommentSubjectChar">
    <w:name w:val="Comment Subject Char"/>
    <w:basedOn w:val="CommentTextChar"/>
    <w:link w:val="CommentSubject"/>
    <w:locked/>
    <w:rsid w:val="00FD7C7A"/>
    <w:rPr>
      <w:rFonts w:cs="Times New Roman"/>
      <w:b/>
      <w:bCs/>
      <w:lang w:val="en-US" w:eastAsia="en-US"/>
    </w:rPr>
  </w:style>
  <w:style w:type="character" w:styleId="Hyperlink">
    <w:name w:val="Hyperlink"/>
    <w:basedOn w:val="DefaultParagraphFont"/>
    <w:rsid w:val="00692CED"/>
    <w:rPr>
      <w:rFonts w:cs="Times New Roman"/>
      <w:color w:val="0000FF"/>
      <w:u w:val="single"/>
    </w:rPr>
  </w:style>
  <w:style w:type="paragraph" w:styleId="ListParagraph">
    <w:name w:val="List Paragraph"/>
    <w:basedOn w:val="Normal"/>
    <w:qFormat/>
    <w:rsid w:val="00755A46"/>
    <w:pPr>
      <w:spacing w:after="200" w:line="276" w:lineRule="auto"/>
      <w:ind w:left="720"/>
      <w:contextualSpacing/>
    </w:pPr>
    <w:rPr>
      <w:rFonts w:ascii="Calibri" w:hAnsi="Calibri"/>
      <w:sz w:val="22"/>
      <w:szCs w:val="22"/>
    </w:rPr>
  </w:style>
  <w:style w:type="character" w:styleId="PageNumber">
    <w:name w:val="page number"/>
    <w:basedOn w:val="DefaultParagraphFont"/>
    <w:rsid w:val="005B4555"/>
    <w:rPr>
      <w:rFonts w:cs="Times New Roman"/>
    </w:rPr>
  </w:style>
  <w:style w:type="paragraph" w:styleId="Revision">
    <w:name w:val="Revision"/>
    <w:hidden/>
    <w:semiHidden/>
    <w:rsid w:val="00201D72"/>
    <w:rPr>
      <w:sz w:val="24"/>
      <w:lang w:val="en-US" w:eastAsia="en-US"/>
    </w:rPr>
  </w:style>
  <w:style w:type="paragraph" w:styleId="DocumentMap">
    <w:name w:val="Document Map"/>
    <w:basedOn w:val="Normal"/>
    <w:link w:val="DocumentMapChar"/>
    <w:semiHidden/>
    <w:rsid w:val="003A0194"/>
    <w:rPr>
      <w:rFonts w:ascii="Tahoma" w:hAnsi="Tahoma" w:cs="Tahoma"/>
      <w:sz w:val="16"/>
      <w:szCs w:val="16"/>
    </w:rPr>
  </w:style>
  <w:style w:type="character" w:customStyle="1" w:styleId="DocumentMapChar">
    <w:name w:val="Document Map Char"/>
    <w:basedOn w:val="DefaultParagraphFont"/>
    <w:link w:val="DocumentMap"/>
    <w:semiHidden/>
    <w:locked/>
    <w:rsid w:val="003A0194"/>
    <w:rPr>
      <w:rFonts w:ascii="Tahoma" w:hAnsi="Tahoma" w:cs="Tahoma"/>
      <w:sz w:val="16"/>
      <w:szCs w:val="16"/>
    </w:rPr>
  </w:style>
  <w:style w:type="table" w:styleId="TableGrid">
    <w:name w:val="Table Grid"/>
    <w:basedOn w:val="TableNormal"/>
    <w:rsid w:val="006E7D7E"/>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chart" Target="charts/chart5.xm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hD\Short%20Sale%20Ban\CRSP%20Data\Short%20sale%20ban%20figures%20and%20tables%20April%2024,%20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hort%20Sale%20Ban\Final%20Data\Short%20sale%20ban%20figures%20and%20tables%20March%201,%202009%20with%20characterist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hD\Short%20Sale%20Ban\CRSP%20Data\Short%20sale%20ban%20figures%20and%20tables%20April%2024,%202009.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PhD\Short%20Sale%20Ban\CRSP%20Data\Short%20sale%20ban%20figures%20and%20tables%20April%2024,%202009.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Short%20Sale%20Ban\Final%20Data\Final%20short%20interest%20weighted%20charts%20March%20200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PhD\Short%20Sale%20Ban\CRSP%20Data\Short%20sale%20ban%20figures%20and%20tables%20April%2024,%20200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hort%20Sale%20Ban\CRSP%20Data\short%20Sale%20Ban%20Performance%20Index%20Comparison%20July%2020,%2020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rtsfs\arts_home\brphilli\Short%20Sale%20Ban\CRSP%20Data\t%20tests%20Aug%2011,%20200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rtsfs\arts_home\brphilli\Short%20Sale%20Ban\CRSP%20Data\t%20tests%20Aug%2011,%20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12844059575699"/>
          <c:y val="5.9696433294675846E-2"/>
          <c:w val="0.8264807576012615"/>
          <c:h val="0.60474994550099781"/>
        </c:manualLayout>
      </c:layout>
      <c:lineChart>
        <c:grouping val="standard"/>
        <c:varyColors val="0"/>
        <c:ser>
          <c:idx val="0"/>
          <c:order val="0"/>
          <c:tx>
            <c:strRef>
              <c:f>indexes!$F$1</c:f>
              <c:strCache>
                <c:ptCount val="1"/>
                <c:pt idx="0">
                  <c:v>Not Banned Value</c:v>
                </c:pt>
              </c:strCache>
            </c:strRef>
          </c:tx>
          <c:spPr>
            <a:ln>
              <a:prstDash val="sysDash"/>
            </a:ln>
          </c:spPr>
          <c:marker>
            <c:symbol val="none"/>
          </c:marker>
          <c:cat>
            <c:numRef>
              <c:f>indexes!$A$3:$A$328</c:f>
              <c:numCache>
                <c:formatCode>mm/dd/yy</c:formatCode>
                <c:ptCount val="326"/>
                <c:pt idx="0">
                  <c:v>39343</c:v>
                </c:pt>
                <c:pt idx="1">
                  <c:v>39344</c:v>
                </c:pt>
                <c:pt idx="2">
                  <c:v>39345</c:v>
                </c:pt>
                <c:pt idx="3">
                  <c:v>39346</c:v>
                </c:pt>
                <c:pt idx="4">
                  <c:v>39349</c:v>
                </c:pt>
                <c:pt idx="5">
                  <c:v>39350</c:v>
                </c:pt>
                <c:pt idx="6">
                  <c:v>39351</c:v>
                </c:pt>
                <c:pt idx="7">
                  <c:v>39352</c:v>
                </c:pt>
                <c:pt idx="8">
                  <c:v>39353</c:v>
                </c:pt>
                <c:pt idx="9">
                  <c:v>39356</c:v>
                </c:pt>
                <c:pt idx="10">
                  <c:v>39357</c:v>
                </c:pt>
                <c:pt idx="11">
                  <c:v>39358</c:v>
                </c:pt>
                <c:pt idx="12">
                  <c:v>39359</c:v>
                </c:pt>
                <c:pt idx="13">
                  <c:v>39360</c:v>
                </c:pt>
                <c:pt idx="14">
                  <c:v>39363</c:v>
                </c:pt>
                <c:pt idx="15">
                  <c:v>39364</c:v>
                </c:pt>
                <c:pt idx="16">
                  <c:v>39365</c:v>
                </c:pt>
                <c:pt idx="17">
                  <c:v>39366</c:v>
                </c:pt>
                <c:pt idx="18">
                  <c:v>39367</c:v>
                </c:pt>
                <c:pt idx="19">
                  <c:v>39370</c:v>
                </c:pt>
                <c:pt idx="20">
                  <c:v>39371</c:v>
                </c:pt>
                <c:pt idx="21">
                  <c:v>39372</c:v>
                </c:pt>
                <c:pt idx="22">
                  <c:v>39373</c:v>
                </c:pt>
                <c:pt idx="23">
                  <c:v>39374</c:v>
                </c:pt>
                <c:pt idx="24">
                  <c:v>39377</c:v>
                </c:pt>
                <c:pt idx="25">
                  <c:v>39378</c:v>
                </c:pt>
                <c:pt idx="26">
                  <c:v>39379</c:v>
                </c:pt>
                <c:pt idx="27">
                  <c:v>39380</c:v>
                </c:pt>
                <c:pt idx="28">
                  <c:v>39381</c:v>
                </c:pt>
                <c:pt idx="29">
                  <c:v>39384</c:v>
                </c:pt>
                <c:pt idx="30">
                  <c:v>39385</c:v>
                </c:pt>
                <c:pt idx="31">
                  <c:v>39386</c:v>
                </c:pt>
                <c:pt idx="32">
                  <c:v>39387</c:v>
                </c:pt>
                <c:pt idx="33">
                  <c:v>39388</c:v>
                </c:pt>
                <c:pt idx="34">
                  <c:v>39391</c:v>
                </c:pt>
                <c:pt idx="35">
                  <c:v>39392</c:v>
                </c:pt>
                <c:pt idx="36">
                  <c:v>39393</c:v>
                </c:pt>
                <c:pt idx="37">
                  <c:v>39394</c:v>
                </c:pt>
                <c:pt idx="38">
                  <c:v>39395</c:v>
                </c:pt>
                <c:pt idx="39">
                  <c:v>39398</c:v>
                </c:pt>
                <c:pt idx="40">
                  <c:v>39399</c:v>
                </c:pt>
                <c:pt idx="41">
                  <c:v>39400</c:v>
                </c:pt>
                <c:pt idx="42">
                  <c:v>39401</c:v>
                </c:pt>
                <c:pt idx="43">
                  <c:v>39402</c:v>
                </c:pt>
                <c:pt idx="44">
                  <c:v>39405</c:v>
                </c:pt>
                <c:pt idx="45">
                  <c:v>39406</c:v>
                </c:pt>
                <c:pt idx="46">
                  <c:v>39407</c:v>
                </c:pt>
                <c:pt idx="47">
                  <c:v>39409</c:v>
                </c:pt>
                <c:pt idx="48">
                  <c:v>39412</c:v>
                </c:pt>
                <c:pt idx="49">
                  <c:v>39413</c:v>
                </c:pt>
                <c:pt idx="50">
                  <c:v>39414</c:v>
                </c:pt>
                <c:pt idx="51">
                  <c:v>39415</c:v>
                </c:pt>
                <c:pt idx="52">
                  <c:v>39416</c:v>
                </c:pt>
                <c:pt idx="53">
                  <c:v>39419</c:v>
                </c:pt>
                <c:pt idx="54">
                  <c:v>39420</c:v>
                </c:pt>
                <c:pt idx="55">
                  <c:v>39421</c:v>
                </c:pt>
                <c:pt idx="56">
                  <c:v>39422</c:v>
                </c:pt>
                <c:pt idx="57">
                  <c:v>39423</c:v>
                </c:pt>
                <c:pt idx="58">
                  <c:v>39426</c:v>
                </c:pt>
                <c:pt idx="59">
                  <c:v>39427</c:v>
                </c:pt>
                <c:pt idx="60">
                  <c:v>39428</c:v>
                </c:pt>
                <c:pt idx="61">
                  <c:v>39429</c:v>
                </c:pt>
                <c:pt idx="62">
                  <c:v>39430</c:v>
                </c:pt>
                <c:pt idx="63">
                  <c:v>39433</c:v>
                </c:pt>
                <c:pt idx="64">
                  <c:v>39434</c:v>
                </c:pt>
                <c:pt idx="65">
                  <c:v>39435</c:v>
                </c:pt>
                <c:pt idx="66">
                  <c:v>39436</c:v>
                </c:pt>
                <c:pt idx="67">
                  <c:v>39437</c:v>
                </c:pt>
                <c:pt idx="68">
                  <c:v>39440</c:v>
                </c:pt>
                <c:pt idx="69">
                  <c:v>39442</c:v>
                </c:pt>
                <c:pt idx="70">
                  <c:v>39443</c:v>
                </c:pt>
                <c:pt idx="71">
                  <c:v>39444</c:v>
                </c:pt>
                <c:pt idx="72">
                  <c:v>39447</c:v>
                </c:pt>
                <c:pt idx="73">
                  <c:v>39449</c:v>
                </c:pt>
                <c:pt idx="74">
                  <c:v>39450</c:v>
                </c:pt>
                <c:pt idx="75">
                  <c:v>39451</c:v>
                </c:pt>
                <c:pt idx="76">
                  <c:v>39454</c:v>
                </c:pt>
                <c:pt idx="77">
                  <c:v>39455</c:v>
                </c:pt>
                <c:pt idx="78">
                  <c:v>39456</c:v>
                </c:pt>
                <c:pt idx="79">
                  <c:v>39457</c:v>
                </c:pt>
                <c:pt idx="80">
                  <c:v>39458</c:v>
                </c:pt>
                <c:pt idx="81">
                  <c:v>39461</c:v>
                </c:pt>
                <c:pt idx="82">
                  <c:v>39462</c:v>
                </c:pt>
                <c:pt idx="83">
                  <c:v>39463</c:v>
                </c:pt>
                <c:pt idx="84">
                  <c:v>39464</c:v>
                </c:pt>
                <c:pt idx="85">
                  <c:v>39465</c:v>
                </c:pt>
                <c:pt idx="86">
                  <c:v>39469</c:v>
                </c:pt>
                <c:pt idx="87">
                  <c:v>39470</c:v>
                </c:pt>
                <c:pt idx="88">
                  <c:v>39471</c:v>
                </c:pt>
                <c:pt idx="89">
                  <c:v>39472</c:v>
                </c:pt>
                <c:pt idx="90">
                  <c:v>39475</c:v>
                </c:pt>
                <c:pt idx="91">
                  <c:v>39476</c:v>
                </c:pt>
                <c:pt idx="92">
                  <c:v>39477</c:v>
                </c:pt>
                <c:pt idx="93">
                  <c:v>39478</c:v>
                </c:pt>
                <c:pt idx="94">
                  <c:v>39479</c:v>
                </c:pt>
                <c:pt idx="95">
                  <c:v>39482</c:v>
                </c:pt>
                <c:pt idx="96">
                  <c:v>39483</c:v>
                </c:pt>
                <c:pt idx="97">
                  <c:v>39484</c:v>
                </c:pt>
                <c:pt idx="98">
                  <c:v>39485</c:v>
                </c:pt>
                <c:pt idx="99">
                  <c:v>39486</c:v>
                </c:pt>
                <c:pt idx="100">
                  <c:v>39489</c:v>
                </c:pt>
                <c:pt idx="101">
                  <c:v>39490</c:v>
                </c:pt>
                <c:pt idx="102">
                  <c:v>39491</c:v>
                </c:pt>
                <c:pt idx="103">
                  <c:v>39492</c:v>
                </c:pt>
                <c:pt idx="104">
                  <c:v>39493</c:v>
                </c:pt>
                <c:pt idx="105">
                  <c:v>39497</c:v>
                </c:pt>
                <c:pt idx="106">
                  <c:v>39498</c:v>
                </c:pt>
                <c:pt idx="107">
                  <c:v>39499</c:v>
                </c:pt>
                <c:pt idx="108">
                  <c:v>39500</c:v>
                </c:pt>
                <c:pt idx="109">
                  <c:v>39503</c:v>
                </c:pt>
                <c:pt idx="110">
                  <c:v>39504</c:v>
                </c:pt>
                <c:pt idx="111">
                  <c:v>39505</c:v>
                </c:pt>
                <c:pt idx="112">
                  <c:v>39506</c:v>
                </c:pt>
                <c:pt idx="113">
                  <c:v>39507</c:v>
                </c:pt>
                <c:pt idx="114">
                  <c:v>39510</c:v>
                </c:pt>
                <c:pt idx="115">
                  <c:v>39511</c:v>
                </c:pt>
                <c:pt idx="116">
                  <c:v>39512</c:v>
                </c:pt>
                <c:pt idx="117">
                  <c:v>39513</c:v>
                </c:pt>
                <c:pt idx="118">
                  <c:v>39514</c:v>
                </c:pt>
                <c:pt idx="119">
                  <c:v>39517</c:v>
                </c:pt>
                <c:pt idx="120">
                  <c:v>39518</c:v>
                </c:pt>
                <c:pt idx="121">
                  <c:v>39519</c:v>
                </c:pt>
                <c:pt idx="122">
                  <c:v>39520</c:v>
                </c:pt>
                <c:pt idx="123">
                  <c:v>39521</c:v>
                </c:pt>
                <c:pt idx="124">
                  <c:v>39524</c:v>
                </c:pt>
                <c:pt idx="125">
                  <c:v>39525</c:v>
                </c:pt>
                <c:pt idx="126">
                  <c:v>39526</c:v>
                </c:pt>
                <c:pt idx="127">
                  <c:v>39527</c:v>
                </c:pt>
                <c:pt idx="128">
                  <c:v>39531</c:v>
                </c:pt>
                <c:pt idx="129">
                  <c:v>39532</c:v>
                </c:pt>
                <c:pt idx="130">
                  <c:v>39533</c:v>
                </c:pt>
                <c:pt idx="131">
                  <c:v>39534</c:v>
                </c:pt>
                <c:pt idx="132">
                  <c:v>39535</c:v>
                </c:pt>
                <c:pt idx="133">
                  <c:v>39538</c:v>
                </c:pt>
                <c:pt idx="134">
                  <c:v>39539</c:v>
                </c:pt>
                <c:pt idx="135">
                  <c:v>39540</c:v>
                </c:pt>
                <c:pt idx="136">
                  <c:v>39541</c:v>
                </c:pt>
                <c:pt idx="137">
                  <c:v>39542</c:v>
                </c:pt>
                <c:pt idx="138">
                  <c:v>39545</c:v>
                </c:pt>
                <c:pt idx="139">
                  <c:v>39546</c:v>
                </c:pt>
                <c:pt idx="140">
                  <c:v>39547</c:v>
                </c:pt>
                <c:pt idx="141">
                  <c:v>39548</c:v>
                </c:pt>
                <c:pt idx="142">
                  <c:v>39549</c:v>
                </c:pt>
                <c:pt idx="143">
                  <c:v>39552</c:v>
                </c:pt>
                <c:pt idx="144">
                  <c:v>39553</c:v>
                </c:pt>
                <c:pt idx="145">
                  <c:v>39554</c:v>
                </c:pt>
                <c:pt idx="146">
                  <c:v>39555</c:v>
                </c:pt>
                <c:pt idx="147">
                  <c:v>39556</c:v>
                </c:pt>
                <c:pt idx="148">
                  <c:v>39559</c:v>
                </c:pt>
                <c:pt idx="149">
                  <c:v>39560</c:v>
                </c:pt>
                <c:pt idx="150">
                  <c:v>39561</c:v>
                </c:pt>
                <c:pt idx="151">
                  <c:v>39562</c:v>
                </c:pt>
                <c:pt idx="152">
                  <c:v>39563</c:v>
                </c:pt>
                <c:pt idx="153">
                  <c:v>39566</c:v>
                </c:pt>
                <c:pt idx="154">
                  <c:v>39567</c:v>
                </c:pt>
                <c:pt idx="155">
                  <c:v>39568</c:v>
                </c:pt>
                <c:pt idx="156">
                  <c:v>39569</c:v>
                </c:pt>
                <c:pt idx="157">
                  <c:v>39570</c:v>
                </c:pt>
                <c:pt idx="158">
                  <c:v>39573</c:v>
                </c:pt>
                <c:pt idx="159">
                  <c:v>39574</c:v>
                </c:pt>
                <c:pt idx="160">
                  <c:v>39575</c:v>
                </c:pt>
                <c:pt idx="161">
                  <c:v>39576</c:v>
                </c:pt>
                <c:pt idx="162">
                  <c:v>39577</c:v>
                </c:pt>
                <c:pt idx="163">
                  <c:v>39580</c:v>
                </c:pt>
                <c:pt idx="164">
                  <c:v>39581</c:v>
                </c:pt>
                <c:pt idx="165">
                  <c:v>39582</c:v>
                </c:pt>
                <c:pt idx="166">
                  <c:v>39583</c:v>
                </c:pt>
                <c:pt idx="167">
                  <c:v>39584</c:v>
                </c:pt>
                <c:pt idx="168">
                  <c:v>39587</c:v>
                </c:pt>
                <c:pt idx="169">
                  <c:v>39588</c:v>
                </c:pt>
                <c:pt idx="170">
                  <c:v>39589</c:v>
                </c:pt>
                <c:pt idx="171">
                  <c:v>39590</c:v>
                </c:pt>
                <c:pt idx="172">
                  <c:v>39591</c:v>
                </c:pt>
                <c:pt idx="173">
                  <c:v>39595</c:v>
                </c:pt>
                <c:pt idx="174">
                  <c:v>39596</c:v>
                </c:pt>
                <c:pt idx="175">
                  <c:v>39597</c:v>
                </c:pt>
                <c:pt idx="176">
                  <c:v>39598</c:v>
                </c:pt>
                <c:pt idx="177">
                  <c:v>39601</c:v>
                </c:pt>
                <c:pt idx="178">
                  <c:v>39602</c:v>
                </c:pt>
                <c:pt idx="179">
                  <c:v>39603</c:v>
                </c:pt>
                <c:pt idx="180">
                  <c:v>39604</c:v>
                </c:pt>
                <c:pt idx="181">
                  <c:v>39605</c:v>
                </c:pt>
                <c:pt idx="182">
                  <c:v>39608</c:v>
                </c:pt>
                <c:pt idx="183">
                  <c:v>39609</c:v>
                </c:pt>
                <c:pt idx="184">
                  <c:v>39610</c:v>
                </c:pt>
                <c:pt idx="185">
                  <c:v>39611</c:v>
                </c:pt>
                <c:pt idx="186">
                  <c:v>39612</c:v>
                </c:pt>
                <c:pt idx="187">
                  <c:v>39615</c:v>
                </c:pt>
                <c:pt idx="188">
                  <c:v>39616</c:v>
                </c:pt>
                <c:pt idx="189">
                  <c:v>39617</c:v>
                </c:pt>
                <c:pt idx="190">
                  <c:v>39618</c:v>
                </c:pt>
                <c:pt idx="191">
                  <c:v>39619</c:v>
                </c:pt>
                <c:pt idx="192">
                  <c:v>39622</c:v>
                </c:pt>
                <c:pt idx="193">
                  <c:v>39623</c:v>
                </c:pt>
                <c:pt idx="194">
                  <c:v>39624</c:v>
                </c:pt>
                <c:pt idx="195">
                  <c:v>39625</c:v>
                </c:pt>
                <c:pt idx="196">
                  <c:v>39626</c:v>
                </c:pt>
                <c:pt idx="197">
                  <c:v>39629</c:v>
                </c:pt>
                <c:pt idx="198">
                  <c:v>39630</c:v>
                </c:pt>
                <c:pt idx="199">
                  <c:v>39631</c:v>
                </c:pt>
                <c:pt idx="200">
                  <c:v>39632</c:v>
                </c:pt>
                <c:pt idx="201">
                  <c:v>39636</c:v>
                </c:pt>
                <c:pt idx="202">
                  <c:v>39637</c:v>
                </c:pt>
                <c:pt idx="203">
                  <c:v>39638</c:v>
                </c:pt>
                <c:pt idx="204">
                  <c:v>39639</c:v>
                </c:pt>
                <c:pt idx="205">
                  <c:v>39640</c:v>
                </c:pt>
                <c:pt idx="206">
                  <c:v>39643</c:v>
                </c:pt>
                <c:pt idx="207">
                  <c:v>39644</c:v>
                </c:pt>
                <c:pt idx="208">
                  <c:v>39645</c:v>
                </c:pt>
                <c:pt idx="209">
                  <c:v>39646</c:v>
                </c:pt>
                <c:pt idx="210">
                  <c:v>39647</c:v>
                </c:pt>
                <c:pt idx="211">
                  <c:v>39650</c:v>
                </c:pt>
                <c:pt idx="212">
                  <c:v>39651</c:v>
                </c:pt>
                <c:pt idx="213">
                  <c:v>39652</c:v>
                </c:pt>
                <c:pt idx="214">
                  <c:v>39653</c:v>
                </c:pt>
                <c:pt idx="215">
                  <c:v>39654</c:v>
                </c:pt>
                <c:pt idx="216">
                  <c:v>39657</c:v>
                </c:pt>
                <c:pt idx="217">
                  <c:v>39658</c:v>
                </c:pt>
                <c:pt idx="218">
                  <c:v>39659</c:v>
                </c:pt>
                <c:pt idx="219">
                  <c:v>39660</c:v>
                </c:pt>
                <c:pt idx="220">
                  <c:v>39661</c:v>
                </c:pt>
                <c:pt idx="221">
                  <c:v>39664</c:v>
                </c:pt>
                <c:pt idx="222">
                  <c:v>39665</c:v>
                </c:pt>
                <c:pt idx="223">
                  <c:v>39666</c:v>
                </c:pt>
                <c:pt idx="224">
                  <c:v>39667</c:v>
                </c:pt>
                <c:pt idx="225">
                  <c:v>39668</c:v>
                </c:pt>
                <c:pt idx="226">
                  <c:v>39671</c:v>
                </c:pt>
                <c:pt idx="227">
                  <c:v>39672</c:v>
                </c:pt>
                <c:pt idx="228">
                  <c:v>39673</c:v>
                </c:pt>
                <c:pt idx="229">
                  <c:v>39674</c:v>
                </c:pt>
                <c:pt idx="230">
                  <c:v>39675</c:v>
                </c:pt>
                <c:pt idx="231">
                  <c:v>39678</c:v>
                </c:pt>
                <c:pt idx="232">
                  <c:v>39679</c:v>
                </c:pt>
                <c:pt idx="233">
                  <c:v>39680</c:v>
                </c:pt>
                <c:pt idx="234">
                  <c:v>39681</c:v>
                </c:pt>
                <c:pt idx="235">
                  <c:v>39682</c:v>
                </c:pt>
                <c:pt idx="236">
                  <c:v>39685</c:v>
                </c:pt>
                <c:pt idx="237">
                  <c:v>39686</c:v>
                </c:pt>
                <c:pt idx="238">
                  <c:v>39687</c:v>
                </c:pt>
                <c:pt idx="239">
                  <c:v>39688</c:v>
                </c:pt>
                <c:pt idx="240">
                  <c:v>39689</c:v>
                </c:pt>
                <c:pt idx="241">
                  <c:v>39693</c:v>
                </c:pt>
                <c:pt idx="242">
                  <c:v>39694</c:v>
                </c:pt>
                <c:pt idx="243">
                  <c:v>39695</c:v>
                </c:pt>
                <c:pt idx="244">
                  <c:v>39696</c:v>
                </c:pt>
                <c:pt idx="245">
                  <c:v>39699</c:v>
                </c:pt>
                <c:pt idx="246">
                  <c:v>39700</c:v>
                </c:pt>
                <c:pt idx="247">
                  <c:v>39701</c:v>
                </c:pt>
                <c:pt idx="248">
                  <c:v>39702</c:v>
                </c:pt>
                <c:pt idx="249">
                  <c:v>39703</c:v>
                </c:pt>
                <c:pt idx="250">
                  <c:v>39706</c:v>
                </c:pt>
                <c:pt idx="251">
                  <c:v>39707</c:v>
                </c:pt>
                <c:pt idx="252">
                  <c:v>39708</c:v>
                </c:pt>
                <c:pt idx="253">
                  <c:v>39709</c:v>
                </c:pt>
                <c:pt idx="254">
                  <c:v>39710</c:v>
                </c:pt>
                <c:pt idx="255">
                  <c:v>39713</c:v>
                </c:pt>
                <c:pt idx="256">
                  <c:v>39714</c:v>
                </c:pt>
                <c:pt idx="257">
                  <c:v>39715</c:v>
                </c:pt>
                <c:pt idx="258">
                  <c:v>39716</c:v>
                </c:pt>
                <c:pt idx="259">
                  <c:v>39717</c:v>
                </c:pt>
                <c:pt idx="260">
                  <c:v>39720</c:v>
                </c:pt>
                <c:pt idx="261">
                  <c:v>39721</c:v>
                </c:pt>
                <c:pt idx="262">
                  <c:v>39722</c:v>
                </c:pt>
                <c:pt idx="263">
                  <c:v>39723</c:v>
                </c:pt>
                <c:pt idx="264">
                  <c:v>39724</c:v>
                </c:pt>
                <c:pt idx="265">
                  <c:v>39727</c:v>
                </c:pt>
                <c:pt idx="266">
                  <c:v>39728</c:v>
                </c:pt>
                <c:pt idx="267">
                  <c:v>39729</c:v>
                </c:pt>
                <c:pt idx="268">
                  <c:v>39730</c:v>
                </c:pt>
                <c:pt idx="269">
                  <c:v>39731</c:v>
                </c:pt>
                <c:pt idx="270">
                  <c:v>39734</c:v>
                </c:pt>
                <c:pt idx="271">
                  <c:v>39735</c:v>
                </c:pt>
                <c:pt idx="272">
                  <c:v>39736</c:v>
                </c:pt>
                <c:pt idx="273">
                  <c:v>39737</c:v>
                </c:pt>
                <c:pt idx="274">
                  <c:v>39738</c:v>
                </c:pt>
                <c:pt idx="275">
                  <c:v>39741</c:v>
                </c:pt>
                <c:pt idx="276">
                  <c:v>39742</c:v>
                </c:pt>
                <c:pt idx="277">
                  <c:v>39743</c:v>
                </c:pt>
                <c:pt idx="278">
                  <c:v>39744</c:v>
                </c:pt>
                <c:pt idx="279">
                  <c:v>39745</c:v>
                </c:pt>
                <c:pt idx="280">
                  <c:v>39748</c:v>
                </c:pt>
                <c:pt idx="281">
                  <c:v>39749</c:v>
                </c:pt>
                <c:pt idx="282">
                  <c:v>39750</c:v>
                </c:pt>
                <c:pt idx="283">
                  <c:v>39751</c:v>
                </c:pt>
                <c:pt idx="284">
                  <c:v>39752</c:v>
                </c:pt>
                <c:pt idx="285">
                  <c:v>39755</c:v>
                </c:pt>
                <c:pt idx="286">
                  <c:v>39756</c:v>
                </c:pt>
                <c:pt idx="287">
                  <c:v>39757</c:v>
                </c:pt>
                <c:pt idx="288">
                  <c:v>39758</c:v>
                </c:pt>
                <c:pt idx="289">
                  <c:v>39759</c:v>
                </c:pt>
                <c:pt idx="290">
                  <c:v>39762</c:v>
                </c:pt>
                <c:pt idx="291">
                  <c:v>39763</c:v>
                </c:pt>
                <c:pt idx="292">
                  <c:v>39764</c:v>
                </c:pt>
                <c:pt idx="293">
                  <c:v>39765</c:v>
                </c:pt>
                <c:pt idx="294">
                  <c:v>39766</c:v>
                </c:pt>
                <c:pt idx="295">
                  <c:v>39769</c:v>
                </c:pt>
                <c:pt idx="296">
                  <c:v>39770</c:v>
                </c:pt>
                <c:pt idx="297">
                  <c:v>39771</c:v>
                </c:pt>
                <c:pt idx="298">
                  <c:v>39772</c:v>
                </c:pt>
                <c:pt idx="299">
                  <c:v>39773</c:v>
                </c:pt>
                <c:pt idx="300">
                  <c:v>39776</c:v>
                </c:pt>
                <c:pt idx="301">
                  <c:v>39777</c:v>
                </c:pt>
                <c:pt idx="302">
                  <c:v>39778</c:v>
                </c:pt>
                <c:pt idx="303">
                  <c:v>39780</c:v>
                </c:pt>
                <c:pt idx="304">
                  <c:v>39783</c:v>
                </c:pt>
                <c:pt idx="305">
                  <c:v>39784</c:v>
                </c:pt>
                <c:pt idx="306">
                  <c:v>39785</c:v>
                </c:pt>
                <c:pt idx="307">
                  <c:v>39786</c:v>
                </c:pt>
                <c:pt idx="308">
                  <c:v>39787</c:v>
                </c:pt>
                <c:pt idx="309">
                  <c:v>39790</c:v>
                </c:pt>
                <c:pt idx="310">
                  <c:v>39791</c:v>
                </c:pt>
                <c:pt idx="311">
                  <c:v>39792</c:v>
                </c:pt>
                <c:pt idx="312">
                  <c:v>39793</c:v>
                </c:pt>
                <c:pt idx="313">
                  <c:v>39794</c:v>
                </c:pt>
                <c:pt idx="314">
                  <c:v>39797</c:v>
                </c:pt>
                <c:pt idx="315">
                  <c:v>39798</c:v>
                </c:pt>
                <c:pt idx="316">
                  <c:v>39799</c:v>
                </c:pt>
                <c:pt idx="317">
                  <c:v>39800</c:v>
                </c:pt>
                <c:pt idx="318">
                  <c:v>39801</c:v>
                </c:pt>
                <c:pt idx="319">
                  <c:v>39804</c:v>
                </c:pt>
                <c:pt idx="320">
                  <c:v>39805</c:v>
                </c:pt>
                <c:pt idx="321">
                  <c:v>39806</c:v>
                </c:pt>
                <c:pt idx="322">
                  <c:v>39808</c:v>
                </c:pt>
                <c:pt idx="323">
                  <c:v>39811</c:v>
                </c:pt>
                <c:pt idx="324">
                  <c:v>39812</c:v>
                </c:pt>
                <c:pt idx="325">
                  <c:v>39813</c:v>
                </c:pt>
              </c:numCache>
            </c:numRef>
          </c:cat>
          <c:val>
            <c:numRef>
              <c:f>indexes!$F$2:$F$328</c:f>
              <c:numCache>
                <c:formatCode>General</c:formatCode>
                <c:ptCount val="327"/>
                <c:pt idx="0">
                  <c:v>100</c:v>
                </c:pt>
                <c:pt idx="1">
                  <c:v>102.73182527228448</c:v>
                </c:pt>
                <c:pt idx="2">
                  <c:v>103.37551472227831</c:v>
                </c:pt>
                <c:pt idx="3">
                  <c:v>103.08601693301252</c:v>
                </c:pt>
                <c:pt idx="4">
                  <c:v>103.72228270925935</c:v>
                </c:pt>
                <c:pt idx="5">
                  <c:v>103.5208251859882</c:v>
                </c:pt>
                <c:pt idx="6">
                  <c:v>103.49244589600437</c:v>
                </c:pt>
                <c:pt idx="7">
                  <c:v>104.04598440745301</c:v>
                </c:pt>
                <c:pt idx="8">
                  <c:v>104.5878695241019</c:v>
                </c:pt>
                <c:pt idx="9">
                  <c:v>104.30196028652885</c:v>
                </c:pt>
                <c:pt idx="10">
                  <c:v>105.72350588186542</c:v>
                </c:pt>
                <c:pt idx="11">
                  <c:v>105.58114205443877</c:v>
                </c:pt>
                <c:pt idx="12">
                  <c:v>104.86547834110745</c:v>
                </c:pt>
                <c:pt idx="13">
                  <c:v>105.17900714021238</c:v>
                </c:pt>
                <c:pt idx="14">
                  <c:v>106.46559742290368</c:v>
                </c:pt>
                <c:pt idx="15">
                  <c:v>106.17217843328315</c:v>
                </c:pt>
                <c:pt idx="16">
                  <c:v>107.08908005649144</c:v>
                </c:pt>
                <c:pt idx="17">
                  <c:v>107.26741680293664</c:v>
                </c:pt>
                <c:pt idx="18">
                  <c:v>106.66580731369471</c:v>
                </c:pt>
                <c:pt idx="19">
                  <c:v>107.43486668474814</c:v>
                </c:pt>
                <c:pt idx="20">
                  <c:v>106.72260230003906</c:v>
                </c:pt>
                <c:pt idx="21">
                  <c:v>106.13165329780792</c:v>
                </c:pt>
                <c:pt idx="22">
                  <c:v>106.59411381500269</c:v>
                </c:pt>
                <c:pt idx="23">
                  <c:v>106.93044627328158</c:v>
                </c:pt>
                <c:pt idx="24">
                  <c:v>104.22484757909011</c:v>
                </c:pt>
                <c:pt idx="25">
                  <c:v>104.4491833330765</c:v>
                </c:pt>
                <c:pt idx="26">
                  <c:v>105.70763343266229</c:v>
                </c:pt>
                <c:pt idx="27">
                  <c:v>105.54087577010101</c:v>
                </c:pt>
                <c:pt idx="28">
                  <c:v>105.60622259760898</c:v>
                </c:pt>
                <c:pt idx="29">
                  <c:v>107.01017109849595</c:v>
                </c:pt>
                <c:pt idx="30">
                  <c:v>107.75546277332123</c:v>
                </c:pt>
                <c:pt idx="31">
                  <c:v>106.86684871744291</c:v>
                </c:pt>
                <c:pt idx="32">
                  <c:v>108.36944168606324</c:v>
                </c:pt>
                <c:pt idx="33">
                  <c:v>105.84547083222233</c:v>
                </c:pt>
                <c:pt idx="34">
                  <c:v>106.4226620205159</c:v>
                </c:pt>
                <c:pt idx="35">
                  <c:v>105.81614052597592</c:v>
                </c:pt>
                <c:pt idx="36">
                  <c:v>107.24999953633242</c:v>
                </c:pt>
                <c:pt idx="37">
                  <c:v>104.66994373326264</c:v>
                </c:pt>
                <c:pt idx="38">
                  <c:v>104.61508220518442</c:v>
                </c:pt>
                <c:pt idx="39">
                  <c:v>102.72926978725822</c:v>
                </c:pt>
                <c:pt idx="40">
                  <c:v>100.7711331513264</c:v>
                </c:pt>
                <c:pt idx="41">
                  <c:v>103.4342502679237</c:v>
                </c:pt>
                <c:pt idx="42">
                  <c:v>102.85602139328896</c:v>
                </c:pt>
                <c:pt idx="43">
                  <c:v>101.68000883799313</c:v>
                </c:pt>
                <c:pt idx="44">
                  <c:v>102.41283320307363</c:v>
                </c:pt>
                <c:pt idx="45">
                  <c:v>100.58984743883524</c:v>
                </c:pt>
                <c:pt idx="46">
                  <c:v>101.37384315956081</c:v>
                </c:pt>
                <c:pt idx="47">
                  <c:v>99.894557495839564</c:v>
                </c:pt>
                <c:pt idx="48">
                  <c:v>101.35328020634063</c:v>
                </c:pt>
                <c:pt idx="49">
                  <c:v>99.481118274569155</c:v>
                </c:pt>
                <c:pt idx="50">
                  <c:v>100.47008078368442</c:v>
                </c:pt>
                <c:pt idx="51">
                  <c:v>103.13752317643925</c:v>
                </c:pt>
                <c:pt idx="52">
                  <c:v>103.30413997863943</c:v>
                </c:pt>
                <c:pt idx="53">
                  <c:v>103.71029922628848</c:v>
                </c:pt>
                <c:pt idx="54">
                  <c:v>103.30897517339559</c:v>
                </c:pt>
                <c:pt idx="55">
                  <c:v>102.80248651050381</c:v>
                </c:pt>
                <c:pt idx="56">
                  <c:v>104.31595895315748</c:v>
                </c:pt>
                <c:pt idx="57">
                  <c:v>105.80506411006338</c:v>
                </c:pt>
                <c:pt idx="58">
                  <c:v>105.95397309860644</c:v>
                </c:pt>
                <c:pt idx="59">
                  <c:v>106.57382536347315</c:v>
                </c:pt>
                <c:pt idx="60">
                  <c:v>104.13061495402904</c:v>
                </c:pt>
                <c:pt idx="61">
                  <c:v>105.14217153938505</c:v>
                </c:pt>
                <c:pt idx="62">
                  <c:v>105.06612993655611</c:v>
                </c:pt>
                <c:pt idx="63">
                  <c:v>103.66868180898199</c:v>
                </c:pt>
                <c:pt idx="64">
                  <c:v>101.74531345330372</c:v>
                </c:pt>
                <c:pt idx="65">
                  <c:v>102.51856023762438</c:v>
                </c:pt>
                <c:pt idx="66">
                  <c:v>102.52550040189921</c:v>
                </c:pt>
                <c:pt idx="67">
                  <c:v>103.4231074596743</c:v>
                </c:pt>
                <c:pt idx="68">
                  <c:v>105.20977736481301</c:v>
                </c:pt>
                <c:pt idx="69">
                  <c:v>106.06013279036661</c:v>
                </c:pt>
                <c:pt idx="70">
                  <c:v>106.36415336853339</c:v>
                </c:pt>
                <c:pt idx="71">
                  <c:v>105.0330346768383</c:v>
                </c:pt>
                <c:pt idx="72">
                  <c:v>105.32402057320203</c:v>
                </c:pt>
                <c:pt idx="73">
                  <c:v>104.38865251172442</c:v>
                </c:pt>
                <c:pt idx="74">
                  <c:v>103.45203189669046</c:v>
                </c:pt>
                <c:pt idx="75">
                  <c:v>103.52151788615048</c:v>
                </c:pt>
                <c:pt idx="76">
                  <c:v>100.80881725498708</c:v>
                </c:pt>
                <c:pt idx="77">
                  <c:v>100.77379109269035</c:v>
                </c:pt>
                <c:pt idx="78">
                  <c:v>99.426751886845949</c:v>
                </c:pt>
                <c:pt idx="79">
                  <c:v>100.46872464846636</c:v>
                </c:pt>
                <c:pt idx="80">
                  <c:v>101.03987553337146</c:v>
                </c:pt>
                <c:pt idx="81">
                  <c:v>99.497210851627727</c:v>
                </c:pt>
                <c:pt idx="82">
                  <c:v>100.64220493494322</c:v>
                </c:pt>
                <c:pt idx="83">
                  <c:v>98.150238147630844</c:v>
                </c:pt>
                <c:pt idx="84">
                  <c:v>97.032258489396497</c:v>
                </c:pt>
                <c:pt idx="85">
                  <c:v>94.531145245570613</c:v>
                </c:pt>
                <c:pt idx="86">
                  <c:v>94.160774220212062</c:v>
                </c:pt>
                <c:pt idx="87">
                  <c:v>92.74903747526983</c:v>
                </c:pt>
                <c:pt idx="88">
                  <c:v>93.883428836826283</c:v>
                </c:pt>
                <c:pt idx="89">
                  <c:v>95.366188789441352</c:v>
                </c:pt>
                <c:pt idx="90">
                  <c:v>94.297061503451488</c:v>
                </c:pt>
                <c:pt idx="91">
                  <c:v>95.682369818989926</c:v>
                </c:pt>
                <c:pt idx="92">
                  <c:v>96.166366881436488</c:v>
                </c:pt>
                <c:pt idx="93">
                  <c:v>95.756176575025918</c:v>
                </c:pt>
                <c:pt idx="94">
                  <c:v>97.134947020150349</c:v>
                </c:pt>
                <c:pt idx="95">
                  <c:v>98.65153567474556</c:v>
                </c:pt>
                <c:pt idx="96">
                  <c:v>98.113546904882909</c:v>
                </c:pt>
                <c:pt idx="97">
                  <c:v>95.08715368125128</c:v>
                </c:pt>
                <c:pt idx="98">
                  <c:v>94.339461209211862</c:v>
                </c:pt>
                <c:pt idx="99">
                  <c:v>94.991702791507166</c:v>
                </c:pt>
                <c:pt idx="100">
                  <c:v>95.180411057388454</c:v>
                </c:pt>
                <c:pt idx="101">
                  <c:v>96.218897647088014</c:v>
                </c:pt>
                <c:pt idx="102">
                  <c:v>96.768381922925698</c:v>
                </c:pt>
                <c:pt idx="103">
                  <c:v>98.322079579417888</c:v>
                </c:pt>
                <c:pt idx="104">
                  <c:v>97.163120467390527</c:v>
                </c:pt>
                <c:pt idx="105">
                  <c:v>97.005762715174257</c:v>
                </c:pt>
                <c:pt idx="106">
                  <c:v>97.323687581806354</c:v>
                </c:pt>
                <c:pt idx="107">
                  <c:v>98.116793076303708</c:v>
                </c:pt>
                <c:pt idx="108">
                  <c:v>97.000685136509986</c:v>
                </c:pt>
                <c:pt idx="109">
                  <c:v>97.641460546800545</c:v>
                </c:pt>
                <c:pt idx="110">
                  <c:v>99.194419286791373</c:v>
                </c:pt>
                <c:pt idx="111">
                  <c:v>100.11893556124886</c:v>
                </c:pt>
                <c:pt idx="112">
                  <c:v>99.875294034320959</c:v>
                </c:pt>
                <c:pt idx="113">
                  <c:v>99.514586299380127</c:v>
                </c:pt>
                <c:pt idx="114">
                  <c:v>97.030608987881209</c:v>
                </c:pt>
                <c:pt idx="115">
                  <c:v>97.301427668909042</c:v>
                </c:pt>
                <c:pt idx="116">
                  <c:v>96.817745544840065</c:v>
                </c:pt>
                <c:pt idx="117">
                  <c:v>97.751872886917951</c:v>
                </c:pt>
                <c:pt idx="118">
                  <c:v>95.852117736690616</c:v>
                </c:pt>
                <c:pt idx="119">
                  <c:v>94.820454469271027</c:v>
                </c:pt>
                <c:pt idx="120">
                  <c:v>93.207555669073713</c:v>
                </c:pt>
                <c:pt idx="121">
                  <c:v>96.32418148825343</c:v>
                </c:pt>
                <c:pt idx="122">
                  <c:v>95.785257305616213</c:v>
                </c:pt>
                <c:pt idx="123">
                  <c:v>96.553775829967719</c:v>
                </c:pt>
                <c:pt idx="124">
                  <c:v>94.88671650057077</c:v>
                </c:pt>
                <c:pt idx="125">
                  <c:v>93.485013628055796</c:v>
                </c:pt>
                <c:pt idx="126">
                  <c:v>96.602948693167349</c:v>
                </c:pt>
                <c:pt idx="127">
                  <c:v>93.740532549531338</c:v>
                </c:pt>
                <c:pt idx="128">
                  <c:v>94.94328117472611</c:v>
                </c:pt>
                <c:pt idx="129">
                  <c:v>96.859718213219196</c:v>
                </c:pt>
                <c:pt idx="130">
                  <c:v>97.633352738045971</c:v>
                </c:pt>
                <c:pt idx="131">
                  <c:v>97.525509760409079</c:v>
                </c:pt>
                <c:pt idx="132">
                  <c:v>96.619615484041844</c:v>
                </c:pt>
                <c:pt idx="133">
                  <c:v>96.066381687443538</c:v>
                </c:pt>
                <c:pt idx="134">
                  <c:v>96.526255820074653</c:v>
                </c:pt>
                <c:pt idx="135">
                  <c:v>99.077696768916027</c:v>
                </c:pt>
                <c:pt idx="136">
                  <c:v>99.322979106176064</c:v>
                </c:pt>
                <c:pt idx="137">
                  <c:v>99.650438862592949</c:v>
                </c:pt>
                <c:pt idx="138">
                  <c:v>100.19084065387958</c:v>
                </c:pt>
                <c:pt idx="139">
                  <c:v>100.25086635415595</c:v>
                </c:pt>
                <c:pt idx="140">
                  <c:v>100.11584083667975</c:v>
                </c:pt>
                <c:pt idx="141">
                  <c:v>99.432206614462572</c:v>
                </c:pt>
                <c:pt idx="142">
                  <c:v>100.11288662477077</c:v>
                </c:pt>
                <c:pt idx="143">
                  <c:v>98.345331329079585</c:v>
                </c:pt>
                <c:pt idx="144">
                  <c:v>98.506264499311129</c:v>
                </c:pt>
                <c:pt idx="145">
                  <c:v>98.954732209735909</c:v>
                </c:pt>
                <c:pt idx="146">
                  <c:v>101.36358530651985</c:v>
                </c:pt>
                <c:pt idx="147">
                  <c:v>100.94194113130939</c:v>
                </c:pt>
                <c:pt idx="148">
                  <c:v>102.64368109677648</c:v>
                </c:pt>
                <c:pt idx="149">
                  <c:v>102.89649820804577</c:v>
                </c:pt>
                <c:pt idx="150">
                  <c:v>102.03820524331647</c:v>
                </c:pt>
                <c:pt idx="151">
                  <c:v>102.33432965002963</c:v>
                </c:pt>
                <c:pt idx="152">
                  <c:v>102.26447796026099</c:v>
                </c:pt>
                <c:pt idx="153">
                  <c:v>102.85168758657115</c:v>
                </c:pt>
                <c:pt idx="154">
                  <c:v>102.83157951994357</c:v>
                </c:pt>
                <c:pt idx="155">
                  <c:v>102.1860813287023</c:v>
                </c:pt>
                <c:pt idx="156">
                  <c:v>102.23225306920128</c:v>
                </c:pt>
                <c:pt idx="157">
                  <c:v>103.32564286123338</c:v>
                </c:pt>
                <c:pt idx="158">
                  <c:v>103.73102460142132</c:v>
                </c:pt>
                <c:pt idx="159">
                  <c:v>103.74935389726106</c:v>
                </c:pt>
                <c:pt idx="160">
                  <c:v>104.72689163394878</c:v>
                </c:pt>
                <c:pt idx="161">
                  <c:v>103.27859881921255</c:v>
                </c:pt>
                <c:pt idx="162">
                  <c:v>104.1287844426495</c:v>
                </c:pt>
                <c:pt idx="163">
                  <c:v>103.72082350721089</c:v>
                </c:pt>
                <c:pt idx="164">
                  <c:v>104.82116413996006</c:v>
                </c:pt>
                <c:pt idx="165">
                  <c:v>105.12926328308573</c:v>
                </c:pt>
                <c:pt idx="166">
                  <c:v>105.38046112956918</c:v>
                </c:pt>
                <c:pt idx="167">
                  <c:v>106.67297929981335</c:v>
                </c:pt>
                <c:pt idx="168">
                  <c:v>107.31336550227655</c:v>
                </c:pt>
                <c:pt idx="169">
                  <c:v>107.40654419240238</c:v>
                </c:pt>
                <c:pt idx="170">
                  <c:v>107.0026160512683</c:v>
                </c:pt>
                <c:pt idx="171">
                  <c:v>105.49708281439995</c:v>
                </c:pt>
                <c:pt idx="172">
                  <c:v>105.63495334493302</c:v>
                </c:pt>
                <c:pt idx="173">
                  <c:v>104.47070633542816</c:v>
                </c:pt>
                <c:pt idx="174">
                  <c:v>104.89641337277071</c:v>
                </c:pt>
                <c:pt idx="175">
                  <c:v>105.73693813715857</c:v>
                </c:pt>
                <c:pt idx="176">
                  <c:v>105.92254022551468</c:v>
                </c:pt>
                <c:pt idx="177">
                  <c:v>106.45899937507629</c:v>
                </c:pt>
                <c:pt idx="178">
                  <c:v>105.66932626303435</c:v>
                </c:pt>
                <c:pt idx="179">
                  <c:v>105.0699345363679</c:v>
                </c:pt>
                <c:pt idx="180">
                  <c:v>105.01795868443592</c:v>
                </c:pt>
                <c:pt idx="181">
                  <c:v>107.30383197745549</c:v>
                </c:pt>
                <c:pt idx="182">
                  <c:v>104.71975850991856</c:v>
                </c:pt>
                <c:pt idx="183">
                  <c:v>105.04305880835634</c:v>
                </c:pt>
                <c:pt idx="184">
                  <c:v>104.18385367757638</c:v>
                </c:pt>
                <c:pt idx="185">
                  <c:v>102.85285808910675</c:v>
                </c:pt>
                <c:pt idx="186">
                  <c:v>102.80992410100752</c:v>
                </c:pt>
                <c:pt idx="187">
                  <c:v>104.28547511845355</c:v>
                </c:pt>
                <c:pt idx="188">
                  <c:v>104.59864028584848</c:v>
                </c:pt>
                <c:pt idx="189">
                  <c:v>104.58265071872825</c:v>
                </c:pt>
                <c:pt idx="190">
                  <c:v>103.80770231943941</c:v>
                </c:pt>
                <c:pt idx="191">
                  <c:v>104.11669997194363</c:v>
                </c:pt>
                <c:pt idx="192">
                  <c:v>102.37349915164604</c:v>
                </c:pt>
                <c:pt idx="193">
                  <c:v>102.81288085153008</c:v>
                </c:pt>
                <c:pt idx="194">
                  <c:v>101.86000692189874</c:v>
                </c:pt>
                <c:pt idx="195">
                  <c:v>102.56626974440101</c:v>
                </c:pt>
                <c:pt idx="196">
                  <c:v>100.10371608324998</c:v>
                </c:pt>
                <c:pt idx="197">
                  <c:v>100.03166532441979</c:v>
                </c:pt>
                <c:pt idx="198">
                  <c:v>100.38137495459384</c:v>
                </c:pt>
                <c:pt idx="199">
                  <c:v>100.45048134427084</c:v>
                </c:pt>
                <c:pt idx="200">
                  <c:v>98.143087431142604</c:v>
                </c:pt>
                <c:pt idx="201">
                  <c:v>97.993474329377577</c:v>
                </c:pt>
                <c:pt idx="202">
                  <c:v>97.376064725168277</c:v>
                </c:pt>
                <c:pt idx="203">
                  <c:v>98.482713028024918</c:v>
                </c:pt>
                <c:pt idx="204">
                  <c:v>96.946164245169328</c:v>
                </c:pt>
                <c:pt idx="205">
                  <c:v>97.98248294586601</c:v>
                </c:pt>
                <c:pt idx="206">
                  <c:v>97.318295912751125</c:v>
                </c:pt>
                <c:pt idx="207">
                  <c:v>97.112658875278356</c:v>
                </c:pt>
                <c:pt idx="208">
                  <c:v>96.211581405455405</c:v>
                </c:pt>
                <c:pt idx="209">
                  <c:v>97.445410419580341</c:v>
                </c:pt>
                <c:pt idx="210">
                  <c:v>97.693693834007703</c:v>
                </c:pt>
                <c:pt idx="211">
                  <c:v>97.580283719531948</c:v>
                </c:pt>
                <c:pt idx="212">
                  <c:v>98.277609303004283</c:v>
                </c:pt>
                <c:pt idx="213">
                  <c:v>98.497309405416075</c:v>
                </c:pt>
                <c:pt idx="214">
                  <c:v>98.280700108219079</c:v>
                </c:pt>
                <c:pt idx="215">
                  <c:v>96.427849424496372</c:v>
                </c:pt>
                <c:pt idx="216">
                  <c:v>97.198801365540788</c:v>
                </c:pt>
                <c:pt idx="217">
                  <c:v>96.044821171020175</c:v>
                </c:pt>
                <c:pt idx="218">
                  <c:v>97.473508158320442</c:v>
                </c:pt>
                <c:pt idx="219">
                  <c:v>99.166197367133108</c:v>
                </c:pt>
                <c:pt idx="220">
                  <c:v>97.950894973978961</c:v>
                </c:pt>
                <c:pt idx="221">
                  <c:v>97.22366016208548</c:v>
                </c:pt>
                <c:pt idx="222">
                  <c:v>95.756090876578526</c:v>
                </c:pt>
                <c:pt idx="223">
                  <c:v>97.780933634224255</c:v>
                </c:pt>
                <c:pt idx="224">
                  <c:v>98.693011422790178</c:v>
                </c:pt>
                <c:pt idx="225">
                  <c:v>97.423302032793018</c:v>
                </c:pt>
                <c:pt idx="226">
                  <c:v>99.018634705126161</c:v>
                </c:pt>
                <c:pt idx="227">
                  <c:v>99.46592229948854</c:v>
                </c:pt>
                <c:pt idx="228">
                  <c:v>99.062404338889166</c:v>
                </c:pt>
                <c:pt idx="229">
                  <c:v>99.584913812435119</c:v>
                </c:pt>
                <c:pt idx="230">
                  <c:v>99.800880224750799</c:v>
                </c:pt>
                <c:pt idx="231">
                  <c:v>99.702751813412405</c:v>
                </c:pt>
                <c:pt idx="232">
                  <c:v>98.664765293390147</c:v>
                </c:pt>
                <c:pt idx="233">
                  <c:v>98.209470221449052</c:v>
                </c:pt>
                <c:pt idx="234">
                  <c:v>98.938360381044504</c:v>
                </c:pt>
                <c:pt idx="235">
                  <c:v>99.478162647436918</c:v>
                </c:pt>
                <c:pt idx="236">
                  <c:v>100.10718874716251</c:v>
                </c:pt>
                <c:pt idx="237">
                  <c:v>98.404112917331673</c:v>
                </c:pt>
                <c:pt idx="238">
                  <c:v>98.753988676710108</c:v>
                </c:pt>
                <c:pt idx="239">
                  <c:v>99.686717067454225</c:v>
                </c:pt>
                <c:pt idx="240">
                  <c:v>100.65239560589114</c:v>
                </c:pt>
                <c:pt idx="241">
                  <c:v>99.382798155571692</c:v>
                </c:pt>
                <c:pt idx="242">
                  <c:v>98.189067323381124</c:v>
                </c:pt>
                <c:pt idx="243">
                  <c:v>97.517897527904879</c:v>
                </c:pt>
                <c:pt idx="244">
                  <c:v>94.847158966789848</c:v>
                </c:pt>
                <c:pt idx="245">
                  <c:v>94.884004275217904</c:v>
                </c:pt>
                <c:pt idx="246">
                  <c:v>95.727491439708203</c:v>
                </c:pt>
                <c:pt idx="247">
                  <c:v>92.594338585375795</c:v>
                </c:pt>
                <c:pt idx="248">
                  <c:v>93.631516331244541</c:v>
                </c:pt>
                <c:pt idx="249">
                  <c:v>94.685803687277897</c:v>
                </c:pt>
                <c:pt idx="250">
                  <c:v>95.6532929122491</c:v>
                </c:pt>
                <c:pt idx="251">
                  <c:v>91.809431052874288</c:v>
                </c:pt>
                <c:pt idx="252">
                  <c:v>92.878245035907185</c:v>
                </c:pt>
                <c:pt idx="253">
                  <c:v>89.203084789792527</c:v>
                </c:pt>
                <c:pt idx="254">
                  <c:v>92.21532657143365</c:v>
                </c:pt>
                <c:pt idx="255">
                  <c:v>95.563974426149798</c:v>
                </c:pt>
                <c:pt idx="256">
                  <c:v>92.838947282653436</c:v>
                </c:pt>
                <c:pt idx="257">
                  <c:v>91.313266827315488</c:v>
                </c:pt>
                <c:pt idx="258">
                  <c:v>91.146249225641967</c:v>
                </c:pt>
                <c:pt idx="259">
                  <c:v>92.608518274392551</c:v>
                </c:pt>
                <c:pt idx="260">
                  <c:v>92.079722875231283</c:v>
                </c:pt>
                <c:pt idx="261">
                  <c:v>84.89298332861749</c:v>
                </c:pt>
                <c:pt idx="262">
                  <c:v>88.111078223080568</c:v>
                </c:pt>
                <c:pt idx="263">
                  <c:v>87.25966209800319</c:v>
                </c:pt>
                <c:pt idx="264">
                  <c:v>83.05243382980845</c:v>
                </c:pt>
                <c:pt idx="265">
                  <c:v>82.131135475150984</c:v>
                </c:pt>
                <c:pt idx="266">
                  <c:v>78.494547838755352</c:v>
                </c:pt>
                <c:pt idx="267">
                  <c:v>74.528388577055182</c:v>
                </c:pt>
                <c:pt idx="268">
                  <c:v>74.006961658910896</c:v>
                </c:pt>
                <c:pt idx="269">
                  <c:v>68.977443993449157</c:v>
                </c:pt>
                <c:pt idx="270">
                  <c:v>67.346653021069244</c:v>
                </c:pt>
                <c:pt idx="271">
                  <c:v>75.221209624232529</c:v>
                </c:pt>
                <c:pt idx="272">
                  <c:v>73.8138531758092</c:v>
                </c:pt>
                <c:pt idx="273">
                  <c:v>66.631266533148164</c:v>
                </c:pt>
                <c:pt idx="274">
                  <c:v>69.600424230658149</c:v>
                </c:pt>
                <c:pt idx="275">
                  <c:v>69.603107056460956</c:v>
                </c:pt>
                <c:pt idx="276">
                  <c:v>73.243475738560988</c:v>
                </c:pt>
                <c:pt idx="277">
                  <c:v>70.605863627909628</c:v>
                </c:pt>
                <c:pt idx="278">
                  <c:v>66.309201797347427</c:v>
                </c:pt>
                <c:pt idx="279">
                  <c:v>66.628846144765987</c:v>
                </c:pt>
                <c:pt idx="280">
                  <c:v>64.363917401258192</c:v>
                </c:pt>
                <c:pt idx="281">
                  <c:v>62.113546304580431</c:v>
                </c:pt>
                <c:pt idx="282">
                  <c:v>67.950720371853819</c:v>
                </c:pt>
                <c:pt idx="283">
                  <c:v>68.352006044350048</c:v>
                </c:pt>
                <c:pt idx="284">
                  <c:v>70.735795193480371</c:v>
                </c:pt>
                <c:pt idx="285">
                  <c:v>71.664569958505894</c:v>
                </c:pt>
                <c:pt idx="286">
                  <c:v>71.568735407685693</c:v>
                </c:pt>
                <c:pt idx="287">
                  <c:v>74.377666230657169</c:v>
                </c:pt>
                <c:pt idx="288">
                  <c:v>70.659241737047111</c:v>
                </c:pt>
                <c:pt idx="289">
                  <c:v>67.238263037222225</c:v>
                </c:pt>
                <c:pt idx="290">
                  <c:v>69.237730850587326</c:v>
                </c:pt>
                <c:pt idx="291">
                  <c:v>68.666449324546818</c:v>
                </c:pt>
                <c:pt idx="292">
                  <c:v>66.96132807315918</c:v>
                </c:pt>
                <c:pt idx="293">
                  <c:v>63.404488005700223</c:v>
                </c:pt>
                <c:pt idx="294">
                  <c:v>67.817286414678676</c:v>
                </c:pt>
                <c:pt idx="295">
                  <c:v>64.807699741749701</c:v>
                </c:pt>
                <c:pt idx="296">
                  <c:v>63.534793556352945</c:v>
                </c:pt>
                <c:pt idx="297">
                  <c:v>64.058787489355439</c:v>
                </c:pt>
                <c:pt idx="298">
                  <c:v>60.370097474649697</c:v>
                </c:pt>
                <c:pt idx="299">
                  <c:v>56.37534661028927</c:v>
                </c:pt>
                <c:pt idx="300">
                  <c:v>59.985222241946097</c:v>
                </c:pt>
                <c:pt idx="301">
                  <c:v>63.243464184532428</c:v>
                </c:pt>
                <c:pt idx="302">
                  <c:v>63.665225578568531</c:v>
                </c:pt>
                <c:pt idx="303">
                  <c:v>66.074662385074376</c:v>
                </c:pt>
                <c:pt idx="304">
                  <c:v>66.423762718743689</c:v>
                </c:pt>
                <c:pt idx="305">
                  <c:v>60.813232266384624</c:v>
                </c:pt>
                <c:pt idx="306">
                  <c:v>62.877262736931783</c:v>
                </c:pt>
                <c:pt idx="307">
                  <c:v>64.165131876017142</c:v>
                </c:pt>
                <c:pt idx="308">
                  <c:v>62.120948931307559</c:v>
                </c:pt>
                <c:pt idx="309">
                  <c:v>63.967955108945553</c:v>
                </c:pt>
                <c:pt idx="310">
                  <c:v>66.43645944790336</c:v>
                </c:pt>
                <c:pt idx="311">
                  <c:v>65.298563629603819</c:v>
                </c:pt>
                <c:pt idx="312">
                  <c:v>66.649989993223173</c:v>
                </c:pt>
                <c:pt idx="313">
                  <c:v>65.113345205480258</c:v>
                </c:pt>
                <c:pt idx="314">
                  <c:v>65.751754245640427</c:v>
                </c:pt>
                <c:pt idx="315">
                  <c:v>65.04941482369702</c:v>
                </c:pt>
                <c:pt idx="316">
                  <c:v>68.121474940098381</c:v>
                </c:pt>
                <c:pt idx="317">
                  <c:v>67.935303583058698</c:v>
                </c:pt>
                <c:pt idx="318">
                  <c:v>66.517972056453374</c:v>
                </c:pt>
                <c:pt idx="319">
                  <c:v>66.736808710366319</c:v>
                </c:pt>
                <c:pt idx="320">
                  <c:v>65.598604317152649</c:v>
                </c:pt>
                <c:pt idx="321">
                  <c:v>65.129364925919077</c:v>
                </c:pt>
                <c:pt idx="322">
                  <c:v>65.353384359010349</c:v>
                </c:pt>
                <c:pt idx="323">
                  <c:v>65.903805754112796</c:v>
                </c:pt>
                <c:pt idx="324">
                  <c:v>65.656980246048448</c:v>
                </c:pt>
                <c:pt idx="325">
                  <c:v>67.178226964599858</c:v>
                </c:pt>
                <c:pt idx="326">
                  <c:v>68.242065679741089</c:v>
                </c:pt>
              </c:numCache>
            </c:numRef>
          </c:val>
          <c:smooth val="0"/>
        </c:ser>
        <c:ser>
          <c:idx val="1"/>
          <c:order val="1"/>
          <c:tx>
            <c:strRef>
              <c:f>indexes!$G$1</c:f>
              <c:strCache>
                <c:ptCount val="1"/>
                <c:pt idx="0">
                  <c:v>Banned Value</c:v>
                </c:pt>
              </c:strCache>
            </c:strRef>
          </c:tx>
          <c:spPr>
            <a:ln>
              <a:prstDash val="sysDash"/>
            </a:ln>
          </c:spPr>
          <c:marker>
            <c:symbol val="none"/>
          </c:marker>
          <c:cat>
            <c:numRef>
              <c:f>indexes!$A$3:$A$328</c:f>
              <c:numCache>
                <c:formatCode>mm/dd/yy</c:formatCode>
                <c:ptCount val="326"/>
                <c:pt idx="0">
                  <c:v>39343</c:v>
                </c:pt>
                <c:pt idx="1">
                  <c:v>39344</c:v>
                </c:pt>
                <c:pt idx="2">
                  <c:v>39345</c:v>
                </c:pt>
                <c:pt idx="3">
                  <c:v>39346</c:v>
                </c:pt>
                <c:pt idx="4">
                  <c:v>39349</c:v>
                </c:pt>
                <c:pt idx="5">
                  <c:v>39350</c:v>
                </c:pt>
                <c:pt idx="6">
                  <c:v>39351</c:v>
                </c:pt>
                <c:pt idx="7">
                  <c:v>39352</c:v>
                </c:pt>
                <c:pt idx="8">
                  <c:v>39353</c:v>
                </c:pt>
                <c:pt idx="9">
                  <c:v>39356</c:v>
                </c:pt>
                <c:pt idx="10">
                  <c:v>39357</c:v>
                </c:pt>
                <c:pt idx="11">
                  <c:v>39358</c:v>
                </c:pt>
                <c:pt idx="12">
                  <c:v>39359</c:v>
                </c:pt>
                <c:pt idx="13">
                  <c:v>39360</c:v>
                </c:pt>
                <c:pt idx="14">
                  <c:v>39363</c:v>
                </c:pt>
                <c:pt idx="15">
                  <c:v>39364</c:v>
                </c:pt>
                <c:pt idx="16">
                  <c:v>39365</c:v>
                </c:pt>
                <c:pt idx="17">
                  <c:v>39366</c:v>
                </c:pt>
                <c:pt idx="18">
                  <c:v>39367</c:v>
                </c:pt>
                <c:pt idx="19">
                  <c:v>39370</c:v>
                </c:pt>
                <c:pt idx="20">
                  <c:v>39371</c:v>
                </c:pt>
                <c:pt idx="21">
                  <c:v>39372</c:v>
                </c:pt>
                <c:pt idx="22">
                  <c:v>39373</c:v>
                </c:pt>
                <c:pt idx="23">
                  <c:v>39374</c:v>
                </c:pt>
                <c:pt idx="24">
                  <c:v>39377</c:v>
                </c:pt>
                <c:pt idx="25">
                  <c:v>39378</c:v>
                </c:pt>
                <c:pt idx="26">
                  <c:v>39379</c:v>
                </c:pt>
                <c:pt idx="27">
                  <c:v>39380</c:v>
                </c:pt>
                <c:pt idx="28">
                  <c:v>39381</c:v>
                </c:pt>
                <c:pt idx="29">
                  <c:v>39384</c:v>
                </c:pt>
                <c:pt idx="30">
                  <c:v>39385</c:v>
                </c:pt>
                <c:pt idx="31">
                  <c:v>39386</c:v>
                </c:pt>
                <c:pt idx="32">
                  <c:v>39387</c:v>
                </c:pt>
                <c:pt idx="33">
                  <c:v>39388</c:v>
                </c:pt>
                <c:pt idx="34">
                  <c:v>39391</c:v>
                </c:pt>
                <c:pt idx="35">
                  <c:v>39392</c:v>
                </c:pt>
                <c:pt idx="36">
                  <c:v>39393</c:v>
                </c:pt>
                <c:pt idx="37">
                  <c:v>39394</c:v>
                </c:pt>
                <c:pt idx="38">
                  <c:v>39395</c:v>
                </c:pt>
                <c:pt idx="39">
                  <c:v>39398</c:v>
                </c:pt>
                <c:pt idx="40">
                  <c:v>39399</c:v>
                </c:pt>
                <c:pt idx="41">
                  <c:v>39400</c:v>
                </c:pt>
                <c:pt idx="42">
                  <c:v>39401</c:v>
                </c:pt>
                <c:pt idx="43">
                  <c:v>39402</c:v>
                </c:pt>
                <c:pt idx="44">
                  <c:v>39405</c:v>
                </c:pt>
                <c:pt idx="45">
                  <c:v>39406</c:v>
                </c:pt>
                <c:pt idx="46">
                  <c:v>39407</c:v>
                </c:pt>
                <c:pt idx="47">
                  <c:v>39409</c:v>
                </c:pt>
                <c:pt idx="48">
                  <c:v>39412</c:v>
                </c:pt>
                <c:pt idx="49">
                  <c:v>39413</c:v>
                </c:pt>
                <c:pt idx="50">
                  <c:v>39414</c:v>
                </c:pt>
                <c:pt idx="51">
                  <c:v>39415</c:v>
                </c:pt>
                <c:pt idx="52">
                  <c:v>39416</c:v>
                </c:pt>
                <c:pt idx="53">
                  <c:v>39419</c:v>
                </c:pt>
                <c:pt idx="54">
                  <c:v>39420</c:v>
                </c:pt>
                <c:pt idx="55">
                  <c:v>39421</c:v>
                </c:pt>
                <c:pt idx="56">
                  <c:v>39422</c:v>
                </c:pt>
                <c:pt idx="57">
                  <c:v>39423</c:v>
                </c:pt>
                <c:pt idx="58">
                  <c:v>39426</c:v>
                </c:pt>
                <c:pt idx="59">
                  <c:v>39427</c:v>
                </c:pt>
                <c:pt idx="60">
                  <c:v>39428</c:v>
                </c:pt>
                <c:pt idx="61">
                  <c:v>39429</c:v>
                </c:pt>
                <c:pt idx="62">
                  <c:v>39430</c:v>
                </c:pt>
                <c:pt idx="63">
                  <c:v>39433</c:v>
                </c:pt>
                <c:pt idx="64">
                  <c:v>39434</c:v>
                </c:pt>
                <c:pt idx="65">
                  <c:v>39435</c:v>
                </c:pt>
                <c:pt idx="66">
                  <c:v>39436</c:v>
                </c:pt>
                <c:pt idx="67">
                  <c:v>39437</c:v>
                </c:pt>
                <c:pt idx="68">
                  <c:v>39440</c:v>
                </c:pt>
                <c:pt idx="69">
                  <c:v>39442</c:v>
                </c:pt>
                <c:pt idx="70">
                  <c:v>39443</c:v>
                </c:pt>
                <c:pt idx="71">
                  <c:v>39444</c:v>
                </c:pt>
                <c:pt idx="72">
                  <c:v>39447</c:v>
                </c:pt>
                <c:pt idx="73">
                  <c:v>39449</c:v>
                </c:pt>
                <c:pt idx="74">
                  <c:v>39450</c:v>
                </c:pt>
                <c:pt idx="75">
                  <c:v>39451</c:v>
                </c:pt>
                <c:pt idx="76">
                  <c:v>39454</c:v>
                </c:pt>
                <c:pt idx="77">
                  <c:v>39455</c:v>
                </c:pt>
                <c:pt idx="78">
                  <c:v>39456</c:v>
                </c:pt>
                <c:pt idx="79">
                  <c:v>39457</c:v>
                </c:pt>
                <c:pt idx="80">
                  <c:v>39458</c:v>
                </c:pt>
                <c:pt idx="81">
                  <c:v>39461</c:v>
                </c:pt>
                <c:pt idx="82">
                  <c:v>39462</c:v>
                </c:pt>
                <c:pt idx="83">
                  <c:v>39463</c:v>
                </c:pt>
                <c:pt idx="84">
                  <c:v>39464</c:v>
                </c:pt>
                <c:pt idx="85">
                  <c:v>39465</c:v>
                </c:pt>
                <c:pt idx="86">
                  <c:v>39469</c:v>
                </c:pt>
                <c:pt idx="87">
                  <c:v>39470</c:v>
                </c:pt>
                <c:pt idx="88">
                  <c:v>39471</c:v>
                </c:pt>
                <c:pt idx="89">
                  <c:v>39472</c:v>
                </c:pt>
                <c:pt idx="90">
                  <c:v>39475</c:v>
                </c:pt>
                <c:pt idx="91">
                  <c:v>39476</c:v>
                </c:pt>
                <c:pt idx="92">
                  <c:v>39477</c:v>
                </c:pt>
                <c:pt idx="93">
                  <c:v>39478</c:v>
                </c:pt>
                <c:pt idx="94">
                  <c:v>39479</c:v>
                </c:pt>
                <c:pt idx="95">
                  <c:v>39482</c:v>
                </c:pt>
                <c:pt idx="96">
                  <c:v>39483</c:v>
                </c:pt>
                <c:pt idx="97">
                  <c:v>39484</c:v>
                </c:pt>
                <c:pt idx="98">
                  <c:v>39485</c:v>
                </c:pt>
                <c:pt idx="99">
                  <c:v>39486</c:v>
                </c:pt>
                <c:pt idx="100">
                  <c:v>39489</c:v>
                </c:pt>
                <c:pt idx="101">
                  <c:v>39490</c:v>
                </c:pt>
                <c:pt idx="102">
                  <c:v>39491</c:v>
                </c:pt>
                <c:pt idx="103">
                  <c:v>39492</c:v>
                </c:pt>
                <c:pt idx="104">
                  <c:v>39493</c:v>
                </c:pt>
                <c:pt idx="105">
                  <c:v>39497</c:v>
                </c:pt>
                <c:pt idx="106">
                  <c:v>39498</c:v>
                </c:pt>
                <c:pt idx="107">
                  <c:v>39499</c:v>
                </c:pt>
                <c:pt idx="108">
                  <c:v>39500</c:v>
                </c:pt>
                <c:pt idx="109">
                  <c:v>39503</c:v>
                </c:pt>
                <c:pt idx="110">
                  <c:v>39504</c:v>
                </c:pt>
                <c:pt idx="111">
                  <c:v>39505</c:v>
                </c:pt>
                <c:pt idx="112">
                  <c:v>39506</c:v>
                </c:pt>
                <c:pt idx="113">
                  <c:v>39507</c:v>
                </c:pt>
                <c:pt idx="114">
                  <c:v>39510</c:v>
                </c:pt>
                <c:pt idx="115">
                  <c:v>39511</c:v>
                </c:pt>
                <c:pt idx="116">
                  <c:v>39512</c:v>
                </c:pt>
                <c:pt idx="117">
                  <c:v>39513</c:v>
                </c:pt>
                <c:pt idx="118">
                  <c:v>39514</c:v>
                </c:pt>
                <c:pt idx="119">
                  <c:v>39517</c:v>
                </c:pt>
                <c:pt idx="120">
                  <c:v>39518</c:v>
                </c:pt>
                <c:pt idx="121">
                  <c:v>39519</c:v>
                </c:pt>
                <c:pt idx="122">
                  <c:v>39520</c:v>
                </c:pt>
                <c:pt idx="123">
                  <c:v>39521</c:v>
                </c:pt>
                <c:pt idx="124">
                  <c:v>39524</c:v>
                </c:pt>
                <c:pt idx="125">
                  <c:v>39525</c:v>
                </c:pt>
                <c:pt idx="126">
                  <c:v>39526</c:v>
                </c:pt>
                <c:pt idx="127">
                  <c:v>39527</c:v>
                </c:pt>
                <c:pt idx="128">
                  <c:v>39531</c:v>
                </c:pt>
                <c:pt idx="129">
                  <c:v>39532</c:v>
                </c:pt>
                <c:pt idx="130">
                  <c:v>39533</c:v>
                </c:pt>
                <c:pt idx="131">
                  <c:v>39534</c:v>
                </c:pt>
                <c:pt idx="132">
                  <c:v>39535</c:v>
                </c:pt>
                <c:pt idx="133">
                  <c:v>39538</c:v>
                </c:pt>
                <c:pt idx="134">
                  <c:v>39539</c:v>
                </c:pt>
                <c:pt idx="135">
                  <c:v>39540</c:v>
                </c:pt>
                <c:pt idx="136">
                  <c:v>39541</c:v>
                </c:pt>
                <c:pt idx="137">
                  <c:v>39542</c:v>
                </c:pt>
                <c:pt idx="138">
                  <c:v>39545</c:v>
                </c:pt>
                <c:pt idx="139">
                  <c:v>39546</c:v>
                </c:pt>
                <c:pt idx="140">
                  <c:v>39547</c:v>
                </c:pt>
                <c:pt idx="141">
                  <c:v>39548</c:v>
                </c:pt>
                <c:pt idx="142">
                  <c:v>39549</c:v>
                </c:pt>
                <c:pt idx="143">
                  <c:v>39552</c:v>
                </c:pt>
                <c:pt idx="144">
                  <c:v>39553</c:v>
                </c:pt>
                <c:pt idx="145">
                  <c:v>39554</c:v>
                </c:pt>
                <c:pt idx="146">
                  <c:v>39555</c:v>
                </c:pt>
                <c:pt idx="147">
                  <c:v>39556</c:v>
                </c:pt>
                <c:pt idx="148">
                  <c:v>39559</c:v>
                </c:pt>
                <c:pt idx="149">
                  <c:v>39560</c:v>
                </c:pt>
                <c:pt idx="150">
                  <c:v>39561</c:v>
                </c:pt>
                <c:pt idx="151">
                  <c:v>39562</c:v>
                </c:pt>
                <c:pt idx="152">
                  <c:v>39563</c:v>
                </c:pt>
                <c:pt idx="153">
                  <c:v>39566</c:v>
                </c:pt>
                <c:pt idx="154">
                  <c:v>39567</c:v>
                </c:pt>
                <c:pt idx="155">
                  <c:v>39568</c:v>
                </c:pt>
                <c:pt idx="156">
                  <c:v>39569</c:v>
                </c:pt>
                <c:pt idx="157">
                  <c:v>39570</c:v>
                </c:pt>
                <c:pt idx="158">
                  <c:v>39573</c:v>
                </c:pt>
                <c:pt idx="159">
                  <c:v>39574</c:v>
                </c:pt>
                <c:pt idx="160">
                  <c:v>39575</c:v>
                </c:pt>
                <c:pt idx="161">
                  <c:v>39576</c:v>
                </c:pt>
                <c:pt idx="162">
                  <c:v>39577</c:v>
                </c:pt>
                <c:pt idx="163">
                  <c:v>39580</c:v>
                </c:pt>
                <c:pt idx="164">
                  <c:v>39581</c:v>
                </c:pt>
                <c:pt idx="165">
                  <c:v>39582</c:v>
                </c:pt>
                <c:pt idx="166">
                  <c:v>39583</c:v>
                </c:pt>
                <c:pt idx="167">
                  <c:v>39584</c:v>
                </c:pt>
                <c:pt idx="168">
                  <c:v>39587</c:v>
                </c:pt>
                <c:pt idx="169">
                  <c:v>39588</c:v>
                </c:pt>
                <c:pt idx="170">
                  <c:v>39589</c:v>
                </c:pt>
                <c:pt idx="171">
                  <c:v>39590</c:v>
                </c:pt>
                <c:pt idx="172">
                  <c:v>39591</c:v>
                </c:pt>
                <c:pt idx="173">
                  <c:v>39595</c:v>
                </c:pt>
                <c:pt idx="174">
                  <c:v>39596</c:v>
                </c:pt>
                <c:pt idx="175">
                  <c:v>39597</c:v>
                </c:pt>
                <c:pt idx="176">
                  <c:v>39598</c:v>
                </c:pt>
                <c:pt idx="177">
                  <c:v>39601</c:v>
                </c:pt>
                <c:pt idx="178">
                  <c:v>39602</c:v>
                </c:pt>
                <c:pt idx="179">
                  <c:v>39603</c:v>
                </c:pt>
                <c:pt idx="180">
                  <c:v>39604</c:v>
                </c:pt>
                <c:pt idx="181">
                  <c:v>39605</c:v>
                </c:pt>
                <c:pt idx="182">
                  <c:v>39608</c:v>
                </c:pt>
                <c:pt idx="183">
                  <c:v>39609</c:v>
                </c:pt>
                <c:pt idx="184">
                  <c:v>39610</c:v>
                </c:pt>
                <c:pt idx="185">
                  <c:v>39611</c:v>
                </c:pt>
                <c:pt idx="186">
                  <c:v>39612</c:v>
                </c:pt>
                <c:pt idx="187">
                  <c:v>39615</c:v>
                </c:pt>
                <c:pt idx="188">
                  <c:v>39616</c:v>
                </c:pt>
                <c:pt idx="189">
                  <c:v>39617</c:v>
                </c:pt>
                <c:pt idx="190">
                  <c:v>39618</c:v>
                </c:pt>
                <c:pt idx="191">
                  <c:v>39619</c:v>
                </c:pt>
                <c:pt idx="192">
                  <c:v>39622</c:v>
                </c:pt>
                <c:pt idx="193">
                  <c:v>39623</c:v>
                </c:pt>
                <c:pt idx="194">
                  <c:v>39624</c:v>
                </c:pt>
                <c:pt idx="195">
                  <c:v>39625</c:v>
                </c:pt>
                <c:pt idx="196">
                  <c:v>39626</c:v>
                </c:pt>
                <c:pt idx="197">
                  <c:v>39629</c:v>
                </c:pt>
                <c:pt idx="198">
                  <c:v>39630</c:v>
                </c:pt>
                <c:pt idx="199">
                  <c:v>39631</c:v>
                </c:pt>
                <c:pt idx="200">
                  <c:v>39632</c:v>
                </c:pt>
                <c:pt idx="201">
                  <c:v>39636</c:v>
                </c:pt>
                <c:pt idx="202">
                  <c:v>39637</c:v>
                </c:pt>
                <c:pt idx="203">
                  <c:v>39638</c:v>
                </c:pt>
                <c:pt idx="204">
                  <c:v>39639</c:v>
                </c:pt>
                <c:pt idx="205">
                  <c:v>39640</c:v>
                </c:pt>
                <c:pt idx="206">
                  <c:v>39643</c:v>
                </c:pt>
                <c:pt idx="207">
                  <c:v>39644</c:v>
                </c:pt>
                <c:pt idx="208">
                  <c:v>39645</c:v>
                </c:pt>
                <c:pt idx="209">
                  <c:v>39646</c:v>
                </c:pt>
                <c:pt idx="210">
                  <c:v>39647</c:v>
                </c:pt>
                <c:pt idx="211">
                  <c:v>39650</c:v>
                </c:pt>
                <c:pt idx="212">
                  <c:v>39651</c:v>
                </c:pt>
                <c:pt idx="213">
                  <c:v>39652</c:v>
                </c:pt>
                <c:pt idx="214">
                  <c:v>39653</c:v>
                </c:pt>
                <c:pt idx="215">
                  <c:v>39654</c:v>
                </c:pt>
                <c:pt idx="216">
                  <c:v>39657</c:v>
                </c:pt>
                <c:pt idx="217">
                  <c:v>39658</c:v>
                </c:pt>
                <c:pt idx="218">
                  <c:v>39659</c:v>
                </c:pt>
                <c:pt idx="219">
                  <c:v>39660</c:v>
                </c:pt>
                <c:pt idx="220">
                  <c:v>39661</c:v>
                </c:pt>
                <c:pt idx="221">
                  <c:v>39664</c:v>
                </c:pt>
                <c:pt idx="222">
                  <c:v>39665</c:v>
                </c:pt>
                <c:pt idx="223">
                  <c:v>39666</c:v>
                </c:pt>
                <c:pt idx="224">
                  <c:v>39667</c:v>
                </c:pt>
                <c:pt idx="225">
                  <c:v>39668</c:v>
                </c:pt>
                <c:pt idx="226">
                  <c:v>39671</c:v>
                </c:pt>
                <c:pt idx="227">
                  <c:v>39672</c:v>
                </c:pt>
                <c:pt idx="228">
                  <c:v>39673</c:v>
                </c:pt>
                <c:pt idx="229">
                  <c:v>39674</c:v>
                </c:pt>
                <c:pt idx="230">
                  <c:v>39675</c:v>
                </c:pt>
                <c:pt idx="231">
                  <c:v>39678</c:v>
                </c:pt>
                <c:pt idx="232">
                  <c:v>39679</c:v>
                </c:pt>
                <c:pt idx="233">
                  <c:v>39680</c:v>
                </c:pt>
                <c:pt idx="234">
                  <c:v>39681</c:v>
                </c:pt>
                <c:pt idx="235">
                  <c:v>39682</c:v>
                </c:pt>
                <c:pt idx="236">
                  <c:v>39685</c:v>
                </c:pt>
                <c:pt idx="237">
                  <c:v>39686</c:v>
                </c:pt>
                <c:pt idx="238">
                  <c:v>39687</c:v>
                </c:pt>
                <c:pt idx="239">
                  <c:v>39688</c:v>
                </c:pt>
                <c:pt idx="240">
                  <c:v>39689</c:v>
                </c:pt>
                <c:pt idx="241">
                  <c:v>39693</c:v>
                </c:pt>
                <c:pt idx="242">
                  <c:v>39694</c:v>
                </c:pt>
                <c:pt idx="243">
                  <c:v>39695</c:v>
                </c:pt>
                <c:pt idx="244">
                  <c:v>39696</c:v>
                </c:pt>
                <c:pt idx="245">
                  <c:v>39699</c:v>
                </c:pt>
                <c:pt idx="246">
                  <c:v>39700</c:v>
                </c:pt>
                <c:pt idx="247">
                  <c:v>39701</c:v>
                </c:pt>
                <c:pt idx="248">
                  <c:v>39702</c:v>
                </c:pt>
                <c:pt idx="249">
                  <c:v>39703</c:v>
                </c:pt>
                <c:pt idx="250">
                  <c:v>39706</c:v>
                </c:pt>
                <c:pt idx="251">
                  <c:v>39707</c:v>
                </c:pt>
                <c:pt idx="252">
                  <c:v>39708</c:v>
                </c:pt>
                <c:pt idx="253">
                  <c:v>39709</c:v>
                </c:pt>
                <c:pt idx="254">
                  <c:v>39710</c:v>
                </c:pt>
                <c:pt idx="255">
                  <c:v>39713</c:v>
                </c:pt>
                <c:pt idx="256">
                  <c:v>39714</c:v>
                </c:pt>
                <c:pt idx="257">
                  <c:v>39715</c:v>
                </c:pt>
                <c:pt idx="258">
                  <c:v>39716</c:v>
                </c:pt>
                <c:pt idx="259">
                  <c:v>39717</c:v>
                </c:pt>
                <c:pt idx="260">
                  <c:v>39720</c:v>
                </c:pt>
                <c:pt idx="261">
                  <c:v>39721</c:v>
                </c:pt>
                <c:pt idx="262">
                  <c:v>39722</c:v>
                </c:pt>
                <c:pt idx="263">
                  <c:v>39723</c:v>
                </c:pt>
                <c:pt idx="264">
                  <c:v>39724</c:v>
                </c:pt>
                <c:pt idx="265">
                  <c:v>39727</c:v>
                </c:pt>
                <c:pt idx="266">
                  <c:v>39728</c:v>
                </c:pt>
                <c:pt idx="267">
                  <c:v>39729</c:v>
                </c:pt>
                <c:pt idx="268">
                  <c:v>39730</c:v>
                </c:pt>
                <c:pt idx="269">
                  <c:v>39731</c:v>
                </c:pt>
                <c:pt idx="270">
                  <c:v>39734</c:v>
                </c:pt>
                <c:pt idx="271">
                  <c:v>39735</c:v>
                </c:pt>
                <c:pt idx="272">
                  <c:v>39736</c:v>
                </c:pt>
                <c:pt idx="273">
                  <c:v>39737</c:v>
                </c:pt>
                <c:pt idx="274">
                  <c:v>39738</c:v>
                </c:pt>
                <c:pt idx="275">
                  <c:v>39741</c:v>
                </c:pt>
                <c:pt idx="276">
                  <c:v>39742</c:v>
                </c:pt>
                <c:pt idx="277">
                  <c:v>39743</c:v>
                </c:pt>
                <c:pt idx="278">
                  <c:v>39744</c:v>
                </c:pt>
                <c:pt idx="279">
                  <c:v>39745</c:v>
                </c:pt>
                <c:pt idx="280">
                  <c:v>39748</c:v>
                </c:pt>
                <c:pt idx="281">
                  <c:v>39749</c:v>
                </c:pt>
                <c:pt idx="282">
                  <c:v>39750</c:v>
                </c:pt>
                <c:pt idx="283">
                  <c:v>39751</c:v>
                </c:pt>
                <c:pt idx="284">
                  <c:v>39752</c:v>
                </c:pt>
                <c:pt idx="285">
                  <c:v>39755</c:v>
                </c:pt>
                <c:pt idx="286">
                  <c:v>39756</c:v>
                </c:pt>
                <c:pt idx="287">
                  <c:v>39757</c:v>
                </c:pt>
                <c:pt idx="288">
                  <c:v>39758</c:v>
                </c:pt>
                <c:pt idx="289">
                  <c:v>39759</c:v>
                </c:pt>
                <c:pt idx="290">
                  <c:v>39762</c:v>
                </c:pt>
                <c:pt idx="291">
                  <c:v>39763</c:v>
                </c:pt>
                <c:pt idx="292">
                  <c:v>39764</c:v>
                </c:pt>
                <c:pt idx="293">
                  <c:v>39765</c:v>
                </c:pt>
                <c:pt idx="294">
                  <c:v>39766</c:v>
                </c:pt>
                <c:pt idx="295">
                  <c:v>39769</c:v>
                </c:pt>
                <c:pt idx="296">
                  <c:v>39770</c:v>
                </c:pt>
                <c:pt idx="297">
                  <c:v>39771</c:v>
                </c:pt>
                <c:pt idx="298">
                  <c:v>39772</c:v>
                </c:pt>
                <c:pt idx="299">
                  <c:v>39773</c:v>
                </c:pt>
                <c:pt idx="300">
                  <c:v>39776</c:v>
                </c:pt>
                <c:pt idx="301">
                  <c:v>39777</c:v>
                </c:pt>
                <c:pt idx="302">
                  <c:v>39778</c:v>
                </c:pt>
                <c:pt idx="303">
                  <c:v>39780</c:v>
                </c:pt>
                <c:pt idx="304">
                  <c:v>39783</c:v>
                </c:pt>
                <c:pt idx="305">
                  <c:v>39784</c:v>
                </c:pt>
                <c:pt idx="306">
                  <c:v>39785</c:v>
                </c:pt>
                <c:pt idx="307">
                  <c:v>39786</c:v>
                </c:pt>
                <c:pt idx="308">
                  <c:v>39787</c:v>
                </c:pt>
                <c:pt idx="309">
                  <c:v>39790</c:v>
                </c:pt>
                <c:pt idx="310">
                  <c:v>39791</c:v>
                </c:pt>
                <c:pt idx="311">
                  <c:v>39792</c:v>
                </c:pt>
                <c:pt idx="312">
                  <c:v>39793</c:v>
                </c:pt>
                <c:pt idx="313">
                  <c:v>39794</c:v>
                </c:pt>
                <c:pt idx="314">
                  <c:v>39797</c:v>
                </c:pt>
                <c:pt idx="315">
                  <c:v>39798</c:v>
                </c:pt>
                <c:pt idx="316">
                  <c:v>39799</c:v>
                </c:pt>
                <c:pt idx="317">
                  <c:v>39800</c:v>
                </c:pt>
                <c:pt idx="318">
                  <c:v>39801</c:v>
                </c:pt>
                <c:pt idx="319">
                  <c:v>39804</c:v>
                </c:pt>
                <c:pt idx="320">
                  <c:v>39805</c:v>
                </c:pt>
                <c:pt idx="321">
                  <c:v>39806</c:v>
                </c:pt>
                <c:pt idx="322">
                  <c:v>39808</c:v>
                </c:pt>
                <c:pt idx="323">
                  <c:v>39811</c:v>
                </c:pt>
                <c:pt idx="324">
                  <c:v>39812</c:v>
                </c:pt>
                <c:pt idx="325">
                  <c:v>39813</c:v>
                </c:pt>
              </c:numCache>
            </c:numRef>
          </c:cat>
          <c:val>
            <c:numRef>
              <c:f>indexes!$G$2:$G$328</c:f>
              <c:numCache>
                <c:formatCode>General</c:formatCode>
                <c:ptCount val="327"/>
                <c:pt idx="0">
                  <c:v>100</c:v>
                </c:pt>
                <c:pt idx="1">
                  <c:v>103.86957599986712</c:v>
                </c:pt>
                <c:pt idx="2">
                  <c:v>104.39155571381842</c:v>
                </c:pt>
                <c:pt idx="3">
                  <c:v>103.14169191563306</c:v>
                </c:pt>
                <c:pt idx="4">
                  <c:v>103.40098729593998</c:v>
                </c:pt>
                <c:pt idx="5">
                  <c:v>102.33562554208453</c:v>
                </c:pt>
                <c:pt idx="6">
                  <c:v>102.31792564017755</c:v>
                </c:pt>
                <c:pt idx="7">
                  <c:v>102.93690387017942</c:v>
                </c:pt>
                <c:pt idx="8">
                  <c:v>103.72017281327052</c:v>
                </c:pt>
                <c:pt idx="9">
                  <c:v>103.41297938736572</c:v>
                </c:pt>
                <c:pt idx="10">
                  <c:v>105.13506033496724</c:v>
                </c:pt>
                <c:pt idx="11">
                  <c:v>105.82181554627678</c:v>
                </c:pt>
                <c:pt idx="12">
                  <c:v>105.5856542554108</c:v>
                </c:pt>
                <c:pt idx="13">
                  <c:v>105.90962930953982</c:v>
                </c:pt>
                <c:pt idx="14">
                  <c:v>107.08946347785556</c:v>
                </c:pt>
                <c:pt idx="15">
                  <c:v>106.56452768656423</c:v>
                </c:pt>
                <c:pt idx="16">
                  <c:v>107.37422628732072</c:v>
                </c:pt>
                <c:pt idx="17">
                  <c:v>106.66622233875248</c:v>
                </c:pt>
                <c:pt idx="18">
                  <c:v>106.30049730249175</c:v>
                </c:pt>
                <c:pt idx="19">
                  <c:v>106.39102260480676</c:v>
                </c:pt>
                <c:pt idx="20">
                  <c:v>104.86266489568575</c:v>
                </c:pt>
                <c:pt idx="21">
                  <c:v>103.36551316755447</c:v>
                </c:pt>
                <c:pt idx="22">
                  <c:v>103.40791147211631</c:v>
                </c:pt>
                <c:pt idx="23">
                  <c:v>102.67482637684944</c:v>
                </c:pt>
                <c:pt idx="24">
                  <c:v>100.08195162471102</c:v>
                </c:pt>
                <c:pt idx="25">
                  <c:v>100.85146571760328</c:v>
                </c:pt>
                <c:pt idx="26">
                  <c:v>101.68266424512532</c:v>
                </c:pt>
                <c:pt idx="27">
                  <c:v>100.77495487541827</c:v>
                </c:pt>
                <c:pt idx="28">
                  <c:v>100.45150145749061</c:v>
                </c:pt>
                <c:pt idx="29">
                  <c:v>102.37315418123616</c:v>
                </c:pt>
                <c:pt idx="30">
                  <c:v>102.64222698226602</c:v>
                </c:pt>
                <c:pt idx="31">
                  <c:v>102.34237533237329</c:v>
                </c:pt>
                <c:pt idx="32">
                  <c:v>103.50358048563072</c:v>
                </c:pt>
                <c:pt idx="33">
                  <c:v>99.555528964142397</c:v>
                </c:pt>
                <c:pt idx="34">
                  <c:v>98.740788634856415</c:v>
                </c:pt>
                <c:pt idx="35">
                  <c:v>97.587947311042143</c:v>
                </c:pt>
                <c:pt idx="36">
                  <c:v>98.93367197641065</c:v>
                </c:pt>
                <c:pt idx="37">
                  <c:v>94.919208255967604</c:v>
                </c:pt>
                <c:pt idx="38">
                  <c:v>95.274651359512006</c:v>
                </c:pt>
                <c:pt idx="39">
                  <c:v>94.674173695058315</c:v>
                </c:pt>
                <c:pt idx="40">
                  <c:v>94.633237457500485</c:v>
                </c:pt>
                <c:pt idx="41">
                  <c:v>98.326410908254488</c:v>
                </c:pt>
                <c:pt idx="42">
                  <c:v>97.711277328661268</c:v>
                </c:pt>
                <c:pt idx="43">
                  <c:v>95.233430917288118</c:v>
                </c:pt>
                <c:pt idx="44">
                  <c:v>95.033671686634449</c:v>
                </c:pt>
                <c:pt idx="45">
                  <c:v>92.641464518135464</c:v>
                </c:pt>
                <c:pt idx="46">
                  <c:v>92.123833760077503</c:v>
                </c:pt>
                <c:pt idx="47">
                  <c:v>90.271476347210282</c:v>
                </c:pt>
                <c:pt idx="48">
                  <c:v>92.471699129940944</c:v>
                </c:pt>
                <c:pt idx="49">
                  <c:v>89.582036215043829</c:v>
                </c:pt>
                <c:pt idx="50">
                  <c:v>91.694184577338305</c:v>
                </c:pt>
                <c:pt idx="51">
                  <c:v>95.579246013065188</c:v>
                </c:pt>
                <c:pt idx="52">
                  <c:v>94.883474785990884</c:v>
                </c:pt>
                <c:pt idx="53">
                  <c:v>96.665207082190719</c:v>
                </c:pt>
                <c:pt idx="54">
                  <c:v>95.578595208867554</c:v>
                </c:pt>
                <c:pt idx="55">
                  <c:v>94.105048154696547</c:v>
                </c:pt>
                <c:pt idx="56">
                  <c:v>95.64521227123376</c:v>
                </c:pt>
                <c:pt idx="57">
                  <c:v>97.593358365973614</c:v>
                </c:pt>
                <c:pt idx="58">
                  <c:v>97.014234721886467</c:v>
                </c:pt>
                <c:pt idx="59">
                  <c:v>98.472113324118027</c:v>
                </c:pt>
                <c:pt idx="60">
                  <c:v>94.7927626534713</c:v>
                </c:pt>
                <c:pt idx="61">
                  <c:v>94.517440084407596</c:v>
                </c:pt>
                <c:pt idx="62">
                  <c:v>94.221521627433503</c:v>
                </c:pt>
                <c:pt idx="63">
                  <c:v>92.668820908731618</c:v>
                </c:pt>
                <c:pt idx="64">
                  <c:v>91.749153374073771</c:v>
                </c:pt>
                <c:pt idx="65">
                  <c:v>92.191845176252698</c:v>
                </c:pt>
                <c:pt idx="66">
                  <c:v>92.108481811495935</c:v>
                </c:pt>
                <c:pt idx="67">
                  <c:v>91.932761986467469</c:v>
                </c:pt>
                <c:pt idx="68">
                  <c:v>93.657350833411527</c:v>
                </c:pt>
                <c:pt idx="69">
                  <c:v>94.907156650250727</c:v>
                </c:pt>
                <c:pt idx="70">
                  <c:v>94.709615587076527</c:v>
                </c:pt>
                <c:pt idx="71">
                  <c:v>93.054722482401758</c:v>
                </c:pt>
                <c:pt idx="72">
                  <c:v>92.966147730368746</c:v>
                </c:pt>
                <c:pt idx="73">
                  <c:v>93.027591421587474</c:v>
                </c:pt>
                <c:pt idx="74">
                  <c:v>91.210541731595782</c:v>
                </c:pt>
                <c:pt idx="75">
                  <c:v>90.852181344388342</c:v>
                </c:pt>
                <c:pt idx="76">
                  <c:v>88.543530960789468</c:v>
                </c:pt>
                <c:pt idx="77">
                  <c:v>88.976121288812919</c:v>
                </c:pt>
                <c:pt idx="78">
                  <c:v>86.495183911261222</c:v>
                </c:pt>
                <c:pt idx="79">
                  <c:v>87.629948989857056</c:v>
                </c:pt>
                <c:pt idx="80">
                  <c:v>89.116786977801141</c:v>
                </c:pt>
                <c:pt idx="81">
                  <c:v>88.292492915981427</c:v>
                </c:pt>
                <c:pt idx="82">
                  <c:v>89.093911064635691</c:v>
                </c:pt>
                <c:pt idx="83">
                  <c:v>86.387434222816879</c:v>
                </c:pt>
                <c:pt idx="84">
                  <c:v>87.030245394761138</c:v>
                </c:pt>
                <c:pt idx="85">
                  <c:v>83.668908651156059</c:v>
                </c:pt>
                <c:pt idx="86">
                  <c:v>82.977075983762873</c:v>
                </c:pt>
                <c:pt idx="87">
                  <c:v>83.624792683637949</c:v>
                </c:pt>
                <c:pt idx="88">
                  <c:v>87.561767950157062</c:v>
                </c:pt>
                <c:pt idx="89">
                  <c:v>88.231594759893696</c:v>
                </c:pt>
                <c:pt idx="90">
                  <c:v>86.297209478565904</c:v>
                </c:pt>
                <c:pt idx="91">
                  <c:v>88.628716913141986</c:v>
                </c:pt>
                <c:pt idx="92">
                  <c:v>89.714228595480733</c:v>
                </c:pt>
                <c:pt idx="93">
                  <c:v>89.056430600881299</c:v>
                </c:pt>
                <c:pt idx="94">
                  <c:v>90.854872646776059</c:v>
                </c:pt>
                <c:pt idx="95">
                  <c:v>92.611808780703015</c:v>
                </c:pt>
                <c:pt idx="96">
                  <c:v>90.680869918806181</c:v>
                </c:pt>
                <c:pt idx="97">
                  <c:v>87.190327019224426</c:v>
                </c:pt>
                <c:pt idx="98">
                  <c:v>86.57311774508895</c:v>
                </c:pt>
                <c:pt idx="99">
                  <c:v>87.498468083328831</c:v>
                </c:pt>
                <c:pt idx="100">
                  <c:v>86.098803326115515</c:v>
                </c:pt>
                <c:pt idx="101">
                  <c:v>85.259934847612087</c:v>
                </c:pt>
                <c:pt idx="102">
                  <c:v>86.227505702885182</c:v>
                </c:pt>
                <c:pt idx="103">
                  <c:v>87.007030509262222</c:v>
                </c:pt>
                <c:pt idx="104">
                  <c:v>85.284301105481319</c:v>
                </c:pt>
                <c:pt idx="105">
                  <c:v>85.560295236060441</c:v>
                </c:pt>
                <c:pt idx="106">
                  <c:v>85.119324737443918</c:v>
                </c:pt>
                <c:pt idx="107">
                  <c:v>86.234437275766084</c:v>
                </c:pt>
                <c:pt idx="108">
                  <c:v>85.172086845340914</c:v>
                </c:pt>
                <c:pt idx="109">
                  <c:v>86.002531053870356</c:v>
                </c:pt>
                <c:pt idx="110">
                  <c:v>87.077518314482205</c:v>
                </c:pt>
                <c:pt idx="111">
                  <c:v>87.684416796061299</c:v>
                </c:pt>
                <c:pt idx="112">
                  <c:v>88.278168053158367</c:v>
                </c:pt>
                <c:pt idx="113">
                  <c:v>86.366916141543101</c:v>
                </c:pt>
                <c:pt idx="114">
                  <c:v>83.360361777655214</c:v>
                </c:pt>
                <c:pt idx="115">
                  <c:v>82.580770715262588</c:v>
                </c:pt>
                <c:pt idx="116">
                  <c:v>82.044446984506294</c:v>
                </c:pt>
                <c:pt idx="117">
                  <c:v>81.895846978733886</c:v>
                </c:pt>
                <c:pt idx="118">
                  <c:v>79.132005497499094</c:v>
                </c:pt>
                <c:pt idx="119">
                  <c:v>79.066184391815966</c:v>
                </c:pt>
                <c:pt idx="120">
                  <c:v>77.243591488513545</c:v>
                </c:pt>
                <c:pt idx="121">
                  <c:v>81.075391589597558</c:v>
                </c:pt>
                <c:pt idx="122">
                  <c:v>80.132546890958068</c:v>
                </c:pt>
                <c:pt idx="123">
                  <c:v>80.548516426662303</c:v>
                </c:pt>
                <c:pt idx="124">
                  <c:v>77.982206889231691</c:v>
                </c:pt>
                <c:pt idx="125">
                  <c:v>76.889333871090358</c:v>
                </c:pt>
                <c:pt idx="126">
                  <c:v>81.836882440228749</c:v>
                </c:pt>
                <c:pt idx="127">
                  <c:v>80.282637413366658</c:v>
                </c:pt>
                <c:pt idx="128">
                  <c:v>84.466516816399718</c:v>
                </c:pt>
                <c:pt idx="129">
                  <c:v>85.384095291737523</c:v>
                </c:pt>
                <c:pt idx="130">
                  <c:v>85.480452177407358</c:v>
                </c:pt>
                <c:pt idx="131">
                  <c:v>83.383722902578455</c:v>
                </c:pt>
                <c:pt idx="132">
                  <c:v>82.250717213504657</c:v>
                </c:pt>
                <c:pt idx="133">
                  <c:v>80.815556807385548</c:v>
                </c:pt>
                <c:pt idx="134">
                  <c:v>81.62348066466528</c:v>
                </c:pt>
                <c:pt idx="135">
                  <c:v>86.333680254365973</c:v>
                </c:pt>
                <c:pt idx="136">
                  <c:v>85.832988425683297</c:v>
                </c:pt>
                <c:pt idx="137">
                  <c:v>86.022538409258388</c:v>
                </c:pt>
                <c:pt idx="138">
                  <c:v>85.177051105041329</c:v>
                </c:pt>
                <c:pt idx="139">
                  <c:v>85.712091917033078</c:v>
                </c:pt>
                <c:pt idx="140">
                  <c:v>84.829498214626284</c:v>
                </c:pt>
                <c:pt idx="141">
                  <c:v>83.480042275720038</c:v>
                </c:pt>
                <c:pt idx="142">
                  <c:v>83.522498095009325</c:v>
                </c:pt>
                <c:pt idx="143">
                  <c:v>81.067937195142733</c:v>
                </c:pt>
                <c:pt idx="144">
                  <c:v>79.74245903775045</c:v>
                </c:pt>
                <c:pt idx="145">
                  <c:v>80.545814231734184</c:v>
                </c:pt>
                <c:pt idx="146">
                  <c:v>82.633424024589388</c:v>
                </c:pt>
                <c:pt idx="147">
                  <c:v>83.380620825298564</c:v>
                </c:pt>
                <c:pt idx="148">
                  <c:v>84.840822638864779</c:v>
                </c:pt>
                <c:pt idx="149">
                  <c:v>83.924511584061563</c:v>
                </c:pt>
                <c:pt idx="150">
                  <c:v>83.038273365969786</c:v>
                </c:pt>
                <c:pt idx="151">
                  <c:v>82.588587692752128</c:v>
                </c:pt>
                <c:pt idx="152">
                  <c:v>84.829536321646458</c:v>
                </c:pt>
                <c:pt idx="153">
                  <c:v>85.962818964948497</c:v>
                </c:pt>
                <c:pt idx="154">
                  <c:v>86.101652907739648</c:v>
                </c:pt>
                <c:pt idx="155">
                  <c:v>85.607950340558588</c:v>
                </c:pt>
                <c:pt idx="156">
                  <c:v>85.096980985454579</c:v>
                </c:pt>
                <c:pt idx="157">
                  <c:v>87.667422894216386</c:v>
                </c:pt>
                <c:pt idx="158">
                  <c:v>87.93519798149687</c:v>
                </c:pt>
                <c:pt idx="159">
                  <c:v>87.009283005850477</c:v>
                </c:pt>
                <c:pt idx="160">
                  <c:v>87.445134796985855</c:v>
                </c:pt>
                <c:pt idx="161">
                  <c:v>85.135968480976786</c:v>
                </c:pt>
                <c:pt idx="162">
                  <c:v>84.424520983119734</c:v>
                </c:pt>
                <c:pt idx="163">
                  <c:v>83.91563984139556</c:v>
                </c:pt>
                <c:pt idx="164">
                  <c:v>85.028805825306989</c:v>
                </c:pt>
                <c:pt idx="165">
                  <c:v>84.280093976024418</c:v>
                </c:pt>
                <c:pt idx="166">
                  <c:v>84.885287423643618</c:v>
                </c:pt>
                <c:pt idx="167">
                  <c:v>85.713847667064869</c:v>
                </c:pt>
                <c:pt idx="168">
                  <c:v>84.967532245343037</c:v>
                </c:pt>
                <c:pt idx="169">
                  <c:v>84.63685016141811</c:v>
                </c:pt>
                <c:pt idx="170">
                  <c:v>83.383241594399351</c:v>
                </c:pt>
                <c:pt idx="171">
                  <c:v>81.652482158239351</c:v>
                </c:pt>
                <c:pt idx="172">
                  <c:v>82.492515678101867</c:v>
                </c:pt>
                <c:pt idx="173">
                  <c:v>81.180266673092106</c:v>
                </c:pt>
                <c:pt idx="174">
                  <c:v>81.538039757403709</c:v>
                </c:pt>
                <c:pt idx="175">
                  <c:v>81.393415221438474</c:v>
                </c:pt>
                <c:pt idx="176">
                  <c:v>82.416543286069327</c:v>
                </c:pt>
                <c:pt idx="177">
                  <c:v>82.072494683598649</c:v>
                </c:pt>
                <c:pt idx="178">
                  <c:v>80.815960078800885</c:v>
                </c:pt>
                <c:pt idx="179">
                  <c:v>80.529374615382778</c:v>
                </c:pt>
                <c:pt idx="180">
                  <c:v>80.200985287720499</c:v>
                </c:pt>
                <c:pt idx="181">
                  <c:v>81.666669350702691</c:v>
                </c:pt>
                <c:pt idx="182">
                  <c:v>78.301700738572848</c:v>
                </c:pt>
                <c:pt idx="183">
                  <c:v>77.223671544917025</c:v>
                </c:pt>
                <c:pt idx="184">
                  <c:v>77.71484527975079</c:v>
                </c:pt>
                <c:pt idx="185">
                  <c:v>75.611246598374535</c:v>
                </c:pt>
                <c:pt idx="186">
                  <c:v>76.313497216851147</c:v>
                </c:pt>
                <c:pt idx="187">
                  <c:v>77.568995956915685</c:v>
                </c:pt>
                <c:pt idx="188">
                  <c:v>78.147501456687479</c:v>
                </c:pt>
                <c:pt idx="189">
                  <c:v>76.719011437946577</c:v>
                </c:pt>
                <c:pt idx="190">
                  <c:v>75.69670692123259</c:v>
                </c:pt>
                <c:pt idx="191">
                  <c:v>75.776013119173186</c:v>
                </c:pt>
                <c:pt idx="192">
                  <c:v>73.975061601187633</c:v>
                </c:pt>
                <c:pt idx="193">
                  <c:v>72.464111034832726</c:v>
                </c:pt>
                <c:pt idx="194">
                  <c:v>73.085597320931186</c:v>
                </c:pt>
                <c:pt idx="195">
                  <c:v>73.671446557229586</c:v>
                </c:pt>
                <c:pt idx="196">
                  <c:v>70.844548443523649</c:v>
                </c:pt>
                <c:pt idx="197">
                  <c:v>70.147548164660918</c:v>
                </c:pt>
                <c:pt idx="198">
                  <c:v>68.958659798547686</c:v>
                </c:pt>
                <c:pt idx="199">
                  <c:v>69.418953177345827</c:v>
                </c:pt>
                <c:pt idx="200">
                  <c:v>68.461133220077841</c:v>
                </c:pt>
                <c:pt idx="201">
                  <c:v>68.263060202468282</c:v>
                </c:pt>
                <c:pt idx="202">
                  <c:v>67.023720498355772</c:v>
                </c:pt>
                <c:pt idx="203">
                  <c:v>69.939069067531264</c:v>
                </c:pt>
                <c:pt idx="204">
                  <c:v>67.253006144988078</c:v>
                </c:pt>
                <c:pt idx="205">
                  <c:v>67.102065580043373</c:v>
                </c:pt>
                <c:pt idx="206">
                  <c:v>65.917765388414466</c:v>
                </c:pt>
                <c:pt idx="207">
                  <c:v>63.580086734774596</c:v>
                </c:pt>
                <c:pt idx="208">
                  <c:v>62.148729260451312</c:v>
                </c:pt>
                <c:pt idx="209">
                  <c:v>67.391438463479972</c:v>
                </c:pt>
                <c:pt idx="210">
                  <c:v>70.579161375191688</c:v>
                </c:pt>
                <c:pt idx="211">
                  <c:v>71.219702185651258</c:v>
                </c:pt>
                <c:pt idx="212">
                  <c:v>70.743979055617956</c:v>
                </c:pt>
                <c:pt idx="213">
                  <c:v>74.273188432552288</c:v>
                </c:pt>
                <c:pt idx="214">
                  <c:v>75.875673144523546</c:v>
                </c:pt>
                <c:pt idx="215">
                  <c:v>72.170627174546027</c:v>
                </c:pt>
                <c:pt idx="216">
                  <c:v>71.972075098427354</c:v>
                </c:pt>
                <c:pt idx="217">
                  <c:v>69.243702787522281</c:v>
                </c:pt>
                <c:pt idx="218">
                  <c:v>72.822668756377254</c:v>
                </c:pt>
                <c:pt idx="219">
                  <c:v>73.924823147758445</c:v>
                </c:pt>
                <c:pt idx="220">
                  <c:v>73.261595953444811</c:v>
                </c:pt>
                <c:pt idx="221">
                  <c:v>73.388904894536466</c:v>
                </c:pt>
                <c:pt idx="222">
                  <c:v>72.902030371276808</c:v>
                </c:pt>
                <c:pt idx="223">
                  <c:v>75.86902624590337</c:v>
                </c:pt>
                <c:pt idx="224">
                  <c:v>75.373080452208342</c:v>
                </c:pt>
                <c:pt idx="225">
                  <c:v>72.71459458276783</c:v>
                </c:pt>
                <c:pt idx="226">
                  <c:v>74.926624121163627</c:v>
                </c:pt>
                <c:pt idx="227">
                  <c:v>75.964569286083105</c:v>
                </c:pt>
                <c:pt idx="228">
                  <c:v>73.484338925265533</c:v>
                </c:pt>
                <c:pt idx="229">
                  <c:v>71.866169490568325</c:v>
                </c:pt>
                <c:pt idx="230">
                  <c:v>73.183791057963845</c:v>
                </c:pt>
                <c:pt idx="231">
                  <c:v>73.863827581596212</c:v>
                </c:pt>
                <c:pt idx="232">
                  <c:v>71.889035288990982</c:v>
                </c:pt>
                <c:pt idx="233">
                  <c:v>70.015937551493636</c:v>
                </c:pt>
                <c:pt idx="234">
                  <c:v>70.595091285403399</c:v>
                </c:pt>
                <c:pt idx="235">
                  <c:v>70.293434098362127</c:v>
                </c:pt>
                <c:pt idx="236">
                  <c:v>71.926845871283419</c:v>
                </c:pt>
                <c:pt idx="237">
                  <c:v>69.939379191567141</c:v>
                </c:pt>
                <c:pt idx="238">
                  <c:v>70.206129969225842</c:v>
                </c:pt>
                <c:pt idx="239">
                  <c:v>71.16553583662818</c:v>
                </c:pt>
                <c:pt idx="240">
                  <c:v>73.621760332966318</c:v>
                </c:pt>
                <c:pt idx="241">
                  <c:v>73.015442932237889</c:v>
                </c:pt>
                <c:pt idx="242">
                  <c:v>73.780960721849965</c:v>
                </c:pt>
                <c:pt idx="243">
                  <c:v>74.733702812872238</c:v>
                </c:pt>
                <c:pt idx="244">
                  <c:v>71.678512555602836</c:v>
                </c:pt>
                <c:pt idx="245">
                  <c:v>73.049635254928845</c:v>
                </c:pt>
                <c:pt idx="246">
                  <c:v>76.145039138663975</c:v>
                </c:pt>
                <c:pt idx="247">
                  <c:v>72.443015128758006</c:v>
                </c:pt>
                <c:pt idx="248">
                  <c:v>72.652872826436109</c:v>
                </c:pt>
                <c:pt idx="249">
                  <c:v>73.469807834326119</c:v>
                </c:pt>
                <c:pt idx="250">
                  <c:v>72.815479274862881</c:v>
                </c:pt>
                <c:pt idx="251">
                  <c:v>67.351171439188548</c:v>
                </c:pt>
                <c:pt idx="252">
                  <c:v>69.686181366377212</c:v>
                </c:pt>
                <c:pt idx="253">
                  <c:v>64.378182342749099</c:v>
                </c:pt>
                <c:pt idx="254">
                  <c:v>70.440313477535426</c:v>
                </c:pt>
                <c:pt idx="255">
                  <c:v>76.793808426104619</c:v>
                </c:pt>
                <c:pt idx="256">
                  <c:v>71.750924187179436</c:v>
                </c:pt>
                <c:pt idx="257">
                  <c:v>70.729168482906076</c:v>
                </c:pt>
                <c:pt idx="258">
                  <c:v>70.169813452201851</c:v>
                </c:pt>
                <c:pt idx="259">
                  <c:v>71.848747433938257</c:v>
                </c:pt>
                <c:pt idx="260">
                  <c:v>72.958179076919109</c:v>
                </c:pt>
                <c:pt idx="261">
                  <c:v>63.893807922617221</c:v>
                </c:pt>
                <c:pt idx="262">
                  <c:v>69.874675374271249</c:v>
                </c:pt>
                <c:pt idx="263">
                  <c:v>70.585871904614407</c:v>
                </c:pt>
                <c:pt idx="264">
                  <c:v>67.529426516160058</c:v>
                </c:pt>
                <c:pt idx="265">
                  <c:v>65.717680416781889</c:v>
                </c:pt>
                <c:pt idx="266">
                  <c:v>63.187825932551263</c:v>
                </c:pt>
                <c:pt idx="267">
                  <c:v>57.217854577460542</c:v>
                </c:pt>
                <c:pt idx="268">
                  <c:v>55.937383944251266</c:v>
                </c:pt>
                <c:pt idx="269">
                  <c:v>49.834734987866945</c:v>
                </c:pt>
                <c:pt idx="270">
                  <c:v>52.262953279413381</c:v>
                </c:pt>
                <c:pt idx="271">
                  <c:v>57.378747134693384</c:v>
                </c:pt>
                <c:pt idx="272">
                  <c:v>59.588412042660387</c:v>
                </c:pt>
                <c:pt idx="273">
                  <c:v>54.430176674134408</c:v>
                </c:pt>
                <c:pt idx="274">
                  <c:v>55.718873485161524</c:v>
                </c:pt>
                <c:pt idx="275">
                  <c:v>54.912216010939062</c:v>
                </c:pt>
                <c:pt idx="276">
                  <c:v>56.550637901948804</c:v>
                </c:pt>
                <c:pt idx="277">
                  <c:v>55.34691514708237</c:v>
                </c:pt>
                <c:pt idx="278">
                  <c:v>51.627062982678261</c:v>
                </c:pt>
                <c:pt idx="279">
                  <c:v>51.175203510422911</c:v>
                </c:pt>
                <c:pt idx="280">
                  <c:v>49.336740865296491</c:v>
                </c:pt>
                <c:pt idx="281">
                  <c:v>47.115742242442813</c:v>
                </c:pt>
                <c:pt idx="282">
                  <c:v>51.835933242477822</c:v>
                </c:pt>
                <c:pt idx="283">
                  <c:v>51.364634359396852</c:v>
                </c:pt>
                <c:pt idx="284">
                  <c:v>52.692565135663664</c:v>
                </c:pt>
                <c:pt idx="285">
                  <c:v>54.713029617522395</c:v>
                </c:pt>
                <c:pt idx="286">
                  <c:v>55.034458613233078</c:v>
                </c:pt>
                <c:pt idx="287">
                  <c:v>57.541233544956</c:v>
                </c:pt>
                <c:pt idx="288">
                  <c:v>53.704392079443345</c:v>
                </c:pt>
                <c:pt idx="289">
                  <c:v>50.567355924488474</c:v>
                </c:pt>
                <c:pt idx="290">
                  <c:v>51.643076415113015</c:v>
                </c:pt>
                <c:pt idx="291">
                  <c:v>49.996746192906201</c:v>
                </c:pt>
                <c:pt idx="292">
                  <c:v>48.73135023766001</c:v>
                </c:pt>
                <c:pt idx="293">
                  <c:v>45.570800461177221</c:v>
                </c:pt>
                <c:pt idx="294">
                  <c:v>48.538698688594039</c:v>
                </c:pt>
                <c:pt idx="295">
                  <c:v>46.037331394275462</c:v>
                </c:pt>
                <c:pt idx="296">
                  <c:v>44.130687369932367</c:v>
                </c:pt>
                <c:pt idx="297">
                  <c:v>44.05296039856762</c:v>
                </c:pt>
                <c:pt idx="298">
                  <c:v>39.594290036287752</c:v>
                </c:pt>
                <c:pt idx="299">
                  <c:v>35.719553478868818</c:v>
                </c:pt>
                <c:pt idx="300">
                  <c:v>37.267125347529706</c:v>
                </c:pt>
                <c:pt idx="301">
                  <c:v>42.099568227427106</c:v>
                </c:pt>
                <c:pt idx="302">
                  <c:v>43.072233643707861</c:v>
                </c:pt>
                <c:pt idx="303">
                  <c:v>44.807023381672849</c:v>
                </c:pt>
                <c:pt idx="304">
                  <c:v>46.152047231046794</c:v>
                </c:pt>
                <c:pt idx="305">
                  <c:v>39.925909748467959</c:v>
                </c:pt>
                <c:pt idx="306">
                  <c:v>42.309660706621891</c:v>
                </c:pt>
                <c:pt idx="307">
                  <c:v>44.013584126407174</c:v>
                </c:pt>
                <c:pt idx="308">
                  <c:v>43.031708686978519</c:v>
                </c:pt>
                <c:pt idx="309">
                  <c:v>45.771993439343994</c:v>
                </c:pt>
                <c:pt idx="310">
                  <c:v>48.229082427799376</c:v>
                </c:pt>
                <c:pt idx="311">
                  <c:v>46.047643121963333</c:v>
                </c:pt>
                <c:pt idx="312">
                  <c:v>46.027593444736574</c:v>
                </c:pt>
                <c:pt idx="313">
                  <c:v>43.423239685528962</c:v>
                </c:pt>
                <c:pt idx="314">
                  <c:v>44.167005338612384</c:v>
                </c:pt>
                <c:pt idx="315">
                  <c:v>43.071656667482117</c:v>
                </c:pt>
                <c:pt idx="316">
                  <c:v>46.524792684008681</c:v>
                </c:pt>
                <c:pt idx="317">
                  <c:v>45.840281030035975</c:v>
                </c:pt>
                <c:pt idx="318">
                  <c:v>44.794560614516008</c:v>
                </c:pt>
                <c:pt idx="319">
                  <c:v>45.110476325932055</c:v>
                </c:pt>
                <c:pt idx="320">
                  <c:v>43.784963145962841</c:v>
                </c:pt>
                <c:pt idx="321">
                  <c:v>43.310724344671506</c:v>
                </c:pt>
                <c:pt idx="322">
                  <c:v>43.781305175160007</c:v>
                </c:pt>
                <c:pt idx="323">
                  <c:v>43.90042869362739</c:v>
                </c:pt>
                <c:pt idx="324">
                  <c:v>43.728700302180897</c:v>
                </c:pt>
                <c:pt idx="325">
                  <c:v>45.267228431433345</c:v>
                </c:pt>
                <c:pt idx="326">
                  <c:v>46.250787573567472</c:v>
                </c:pt>
              </c:numCache>
            </c:numRef>
          </c:val>
          <c:smooth val="0"/>
        </c:ser>
        <c:ser>
          <c:idx val="2"/>
          <c:order val="2"/>
          <c:tx>
            <c:strRef>
              <c:f>indexes!$H$1</c:f>
              <c:strCache>
                <c:ptCount val="1"/>
                <c:pt idx="0">
                  <c:v>Banned Short Interest</c:v>
                </c:pt>
              </c:strCache>
            </c:strRef>
          </c:tx>
          <c:spPr>
            <a:ln>
              <a:solidFill>
                <a:srgbClr val="00B050"/>
              </a:solidFill>
              <a:prstDash val="sysDash"/>
            </a:ln>
          </c:spPr>
          <c:marker>
            <c:symbol val="none"/>
          </c:marker>
          <c:cat>
            <c:numRef>
              <c:f>indexes!$A$3:$A$328</c:f>
              <c:numCache>
                <c:formatCode>mm/dd/yy</c:formatCode>
                <c:ptCount val="326"/>
                <c:pt idx="0">
                  <c:v>39343</c:v>
                </c:pt>
                <c:pt idx="1">
                  <c:v>39344</c:v>
                </c:pt>
                <c:pt idx="2">
                  <c:v>39345</c:v>
                </c:pt>
                <c:pt idx="3">
                  <c:v>39346</c:v>
                </c:pt>
                <c:pt idx="4">
                  <c:v>39349</c:v>
                </c:pt>
                <c:pt idx="5">
                  <c:v>39350</c:v>
                </c:pt>
                <c:pt idx="6">
                  <c:v>39351</c:v>
                </c:pt>
                <c:pt idx="7">
                  <c:v>39352</c:v>
                </c:pt>
                <c:pt idx="8">
                  <c:v>39353</c:v>
                </c:pt>
                <c:pt idx="9">
                  <c:v>39356</c:v>
                </c:pt>
                <c:pt idx="10">
                  <c:v>39357</c:v>
                </c:pt>
                <c:pt idx="11">
                  <c:v>39358</c:v>
                </c:pt>
                <c:pt idx="12">
                  <c:v>39359</c:v>
                </c:pt>
                <c:pt idx="13">
                  <c:v>39360</c:v>
                </c:pt>
                <c:pt idx="14">
                  <c:v>39363</c:v>
                </c:pt>
                <c:pt idx="15">
                  <c:v>39364</c:v>
                </c:pt>
                <c:pt idx="16">
                  <c:v>39365</c:v>
                </c:pt>
                <c:pt idx="17">
                  <c:v>39366</c:v>
                </c:pt>
                <c:pt idx="18">
                  <c:v>39367</c:v>
                </c:pt>
                <c:pt idx="19">
                  <c:v>39370</c:v>
                </c:pt>
                <c:pt idx="20">
                  <c:v>39371</c:v>
                </c:pt>
                <c:pt idx="21">
                  <c:v>39372</c:v>
                </c:pt>
                <c:pt idx="22">
                  <c:v>39373</c:v>
                </c:pt>
                <c:pt idx="23">
                  <c:v>39374</c:v>
                </c:pt>
                <c:pt idx="24">
                  <c:v>39377</c:v>
                </c:pt>
                <c:pt idx="25">
                  <c:v>39378</c:v>
                </c:pt>
                <c:pt idx="26">
                  <c:v>39379</c:v>
                </c:pt>
                <c:pt idx="27">
                  <c:v>39380</c:v>
                </c:pt>
                <c:pt idx="28">
                  <c:v>39381</c:v>
                </c:pt>
                <c:pt idx="29">
                  <c:v>39384</c:v>
                </c:pt>
                <c:pt idx="30">
                  <c:v>39385</c:v>
                </c:pt>
                <c:pt idx="31">
                  <c:v>39386</c:v>
                </c:pt>
                <c:pt idx="32">
                  <c:v>39387</c:v>
                </c:pt>
                <c:pt idx="33">
                  <c:v>39388</c:v>
                </c:pt>
                <c:pt idx="34">
                  <c:v>39391</c:v>
                </c:pt>
                <c:pt idx="35">
                  <c:v>39392</c:v>
                </c:pt>
                <c:pt idx="36">
                  <c:v>39393</c:v>
                </c:pt>
                <c:pt idx="37">
                  <c:v>39394</c:v>
                </c:pt>
                <c:pt idx="38">
                  <c:v>39395</c:v>
                </c:pt>
                <c:pt idx="39">
                  <c:v>39398</c:v>
                </c:pt>
                <c:pt idx="40">
                  <c:v>39399</c:v>
                </c:pt>
                <c:pt idx="41">
                  <c:v>39400</c:v>
                </c:pt>
                <c:pt idx="42">
                  <c:v>39401</c:v>
                </c:pt>
                <c:pt idx="43">
                  <c:v>39402</c:v>
                </c:pt>
                <c:pt idx="44">
                  <c:v>39405</c:v>
                </c:pt>
                <c:pt idx="45">
                  <c:v>39406</c:v>
                </c:pt>
                <c:pt idx="46">
                  <c:v>39407</c:v>
                </c:pt>
                <c:pt idx="47">
                  <c:v>39409</c:v>
                </c:pt>
                <c:pt idx="48">
                  <c:v>39412</c:v>
                </c:pt>
                <c:pt idx="49">
                  <c:v>39413</c:v>
                </c:pt>
                <c:pt idx="50">
                  <c:v>39414</c:v>
                </c:pt>
                <c:pt idx="51">
                  <c:v>39415</c:v>
                </c:pt>
                <c:pt idx="52">
                  <c:v>39416</c:v>
                </c:pt>
                <c:pt idx="53">
                  <c:v>39419</c:v>
                </c:pt>
                <c:pt idx="54">
                  <c:v>39420</c:v>
                </c:pt>
                <c:pt idx="55">
                  <c:v>39421</c:v>
                </c:pt>
                <c:pt idx="56">
                  <c:v>39422</c:v>
                </c:pt>
                <c:pt idx="57">
                  <c:v>39423</c:v>
                </c:pt>
                <c:pt idx="58">
                  <c:v>39426</c:v>
                </c:pt>
                <c:pt idx="59">
                  <c:v>39427</c:v>
                </c:pt>
                <c:pt idx="60">
                  <c:v>39428</c:v>
                </c:pt>
                <c:pt idx="61">
                  <c:v>39429</c:v>
                </c:pt>
                <c:pt idx="62">
                  <c:v>39430</c:v>
                </c:pt>
                <c:pt idx="63">
                  <c:v>39433</c:v>
                </c:pt>
                <c:pt idx="64">
                  <c:v>39434</c:v>
                </c:pt>
                <c:pt idx="65">
                  <c:v>39435</c:v>
                </c:pt>
                <c:pt idx="66">
                  <c:v>39436</c:v>
                </c:pt>
                <c:pt idx="67">
                  <c:v>39437</c:v>
                </c:pt>
                <c:pt idx="68">
                  <c:v>39440</c:v>
                </c:pt>
                <c:pt idx="69">
                  <c:v>39442</c:v>
                </c:pt>
                <c:pt idx="70">
                  <c:v>39443</c:v>
                </c:pt>
                <c:pt idx="71">
                  <c:v>39444</c:v>
                </c:pt>
                <c:pt idx="72">
                  <c:v>39447</c:v>
                </c:pt>
                <c:pt idx="73">
                  <c:v>39449</c:v>
                </c:pt>
                <c:pt idx="74">
                  <c:v>39450</c:v>
                </c:pt>
                <c:pt idx="75">
                  <c:v>39451</c:v>
                </c:pt>
                <c:pt idx="76">
                  <c:v>39454</c:v>
                </c:pt>
                <c:pt idx="77">
                  <c:v>39455</c:v>
                </c:pt>
                <c:pt idx="78">
                  <c:v>39456</c:v>
                </c:pt>
                <c:pt idx="79">
                  <c:v>39457</c:v>
                </c:pt>
                <c:pt idx="80">
                  <c:v>39458</c:v>
                </c:pt>
                <c:pt idx="81">
                  <c:v>39461</c:v>
                </c:pt>
                <c:pt idx="82">
                  <c:v>39462</c:v>
                </c:pt>
                <c:pt idx="83">
                  <c:v>39463</c:v>
                </c:pt>
                <c:pt idx="84">
                  <c:v>39464</c:v>
                </c:pt>
                <c:pt idx="85">
                  <c:v>39465</c:v>
                </c:pt>
                <c:pt idx="86">
                  <c:v>39469</c:v>
                </c:pt>
                <c:pt idx="87">
                  <c:v>39470</c:v>
                </c:pt>
                <c:pt idx="88">
                  <c:v>39471</c:v>
                </c:pt>
                <c:pt idx="89">
                  <c:v>39472</c:v>
                </c:pt>
                <c:pt idx="90">
                  <c:v>39475</c:v>
                </c:pt>
                <c:pt idx="91">
                  <c:v>39476</c:v>
                </c:pt>
                <c:pt idx="92">
                  <c:v>39477</c:v>
                </c:pt>
                <c:pt idx="93">
                  <c:v>39478</c:v>
                </c:pt>
                <c:pt idx="94">
                  <c:v>39479</c:v>
                </c:pt>
                <c:pt idx="95">
                  <c:v>39482</c:v>
                </c:pt>
                <c:pt idx="96">
                  <c:v>39483</c:v>
                </c:pt>
                <c:pt idx="97">
                  <c:v>39484</c:v>
                </c:pt>
                <c:pt idx="98">
                  <c:v>39485</c:v>
                </c:pt>
                <c:pt idx="99">
                  <c:v>39486</c:v>
                </c:pt>
                <c:pt idx="100">
                  <c:v>39489</c:v>
                </c:pt>
                <c:pt idx="101">
                  <c:v>39490</c:v>
                </c:pt>
                <c:pt idx="102">
                  <c:v>39491</c:v>
                </c:pt>
                <c:pt idx="103">
                  <c:v>39492</c:v>
                </c:pt>
                <c:pt idx="104">
                  <c:v>39493</c:v>
                </c:pt>
                <c:pt idx="105">
                  <c:v>39497</c:v>
                </c:pt>
                <c:pt idx="106">
                  <c:v>39498</c:v>
                </c:pt>
                <c:pt idx="107">
                  <c:v>39499</c:v>
                </c:pt>
                <c:pt idx="108">
                  <c:v>39500</c:v>
                </c:pt>
                <c:pt idx="109">
                  <c:v>39503</c:v>
                </c:pt>
                <c:pt idx="110">
                  <c:v>39504</c:v>
                </c:pt>
                <c:pt idx="111">
                  <c:v>39505</c:v>
                </c:pt>
                <c:pt idx="112">
                  <c:v>39506</c:v>
                </c:pt>
                <c:pt idx="113">
                  <c:v>39507</c:v>
                </c:pt>
                <c:pt idx="114">
                  <c:v>39510</c:v>
                </c:pt>
                <c:pt idx="115">
                  <c:v>39511</c:v>
                </c:pt>
                <c:pt idx="116">
                  <c:v>39512</c:v>
                </c:pt>
                <c:pt idx="117">
                  <c:v>39513</c:v>
                </c:pt>
                <c:pt idx="118">
                  <c:v>39514</c:v>
                </c:pt>
                <c:pt idx="119">
                  <c:v>39517</c:v>
                </c:pt>
                <c:pt idx="120">
                  <c:v>39518</c:v>
                </c:pt>
                <c:pt idx="121">
                  <c:v>39519</c:v>
                </c:pt>
                <c:pt idx="122">
                  <c:v>39520</c:v>
                </c:pt>
                <c:pt idx="123">
                  <c:v>39521</c:v>
                </c:pt>
                <c:pt idx="124">
                  <c:v>39524</c:v>
                </c:pt>
                <c:pt idx="125">
                  <c:v>39525</c:v>
                </c:pt>
                <c:pt idx="126">
                  <c:v>39526</c:v>
                </c:pt>
                <c:pt idx="127">
                  <c:v>39527</c:v>
                </c:pt>
                <c:pt idx="128">
                  <c:v>39531</c:v>
                </c:pt>
                <c:pt idx="129">
                  <c:v>39532</c:v>
                </c:pt>
                <c:pt idx="130">
                  <c:v>39533</c:v>
                </c:pt>
                <c:pt idx="131">
                  <c:v>39534</c:v>
                </c:pt>
                <c:pt idx="132">
                  <c:v>39535</c:v>
                </c:pt>
                <c:pt idx="133">
                  <c:v>39538</c:v>
                </c:pt>
                <c:pt idx="134">
                  <c:v>39539</c:v>
                </c:pt>
                <c:pt idx="135">
                  <c:v>39540</c:v>
                </c:pt>
                <c:pt idx="136">
                  <c:v>39541</c:v>
                </c:pt>
                <c:pt idx="137">
                  <c:v>39542</c:v>
                </c:pt>
                <c:pt idx="138">
                  <c:v>39545</c:v>
                </c:pt>
                <c:pt idx="139">
                  <c:v>39546</c:v>
                </c:pt>
                <c:pt idx="140">
                  <c:v>39547</c:v>
                </c:pt>
                <c:pt idx="141">
                  <c:v>39548</c:v>
                </c:pt>
                <c:pt idx="142">
                  <c:v>39549</c:v>
                </c:pt>
                <c:pt idx="143">
                  <c:v>39552</c:v>
                </c:pt>
                <c:pt idx="144">
                  <c:v>39553</c:v>
                </c:pt>
                <c:pt idx="145">
                  <c:v>39554</c:v>
                </c:pt>
                <c:pt idx="146">
                  <c:v>39555</c:v>
                </c:pt>
                <c:pt idx="147">
                  <c:v>39556</c:v>
                </c:pt>
                <c:pt idx="148">
                  <c:v>39559</c:v>
                </c:pt>
                <c:pt idx="149">
                  <c:v>39560</c:v>
                </c:pt>
                <c:pt idx="150">
                  <c:v>39561</c:v>
                </c:pt>
                <c:pt idx="151">
                  <c:v>39562</c:v>
                </c:pt>
                <c:pt idx="152">
                  <c:v>39563</c:v>
                </c:pt>
                <c:pt idx="153">
                  <c:v>39566</c:v>
                </c:pt>
                <c:pt idx="154">
                  <c:v>39567</c:v>
                </c:pt>
                <c:pt idx="155">
                  <c:v>39568</c:v>
                </c:pt>
                <c:pt idx="156">
                  <c:v>39569</c:v>
                </c:pt>
                <c:pt idx="157">
                  <c:v>39570</c:v>
                </c:pt>
                <c:pt idx="158">
                  <c:v>39573</c:v>
                </c:pt>
                <c:pt idx="159">
                  <c:v>39574</c:v>
                </c:pt>
                <c:pt idx="160">
                  <c:v>39575</c:v>
                </c:pt>
                <c:pt idx="161">
                  <c:v>39576</c:v>
                </c:pt>
                <c:pt idx="162">
                  <c:v>39577</c:v>
                </c:pt>
                <c:pt idx="163">
                  <c:v>39580</c:v>
                </c:pt>
                <c:pt idx="164">
                  <c:v>39581</c:v>
                </c:pt>
                <c:pt idx="165">
                  <c:v>39582</c:v>
                </c:pt>
                <c:pt idx="166">
                  <c:v>39583</c:v>
                </c:pt>
                <c:pt idx="167">
                  <c:v>39584</c:v>
                </c:pt>
                <c:pt idx="168">
                  <c:v>39587</c:v>
                </c:pt>
                <c:pt idx="169">
                  <c:v>39588</c:v>
                </c:pt>
                <c:pt idx="170">
                  <c:v>39589</c:v>
                </c:pt>
                <c:pt idx="171">
                  <c:v>39590</c:v>
                </c:pt>
                <c:pt idx="172">
                  <c:v>39591</c:v>
                </c:pt>
                <c:pt idx="173">
                  <c:v>39595</c:v>
                </c:pt>
                <c:pt idx="174">
                  <c:v>39596</c:v>
                </c:pt>
                <c:pt idx="175">
                  <c:v>39597</c:v>
                </c:pt>
                <c:pt idx="176">
                  <c:v>39598</c:v>
                </c:pt>
                <c:pt idx="177">
                  <c:v>39601</c:v>
                </c:pt>
                <c:pt idx="178">
                  <c:v>39602</c:v>
                </c:pt>
                <c:pt idx="179">
                  <c:v>39603</c:v>
                </c:pt>
                <c:pt idx="180">
                  <c:v>39604</c:v>
                </c:pt>
                <c:pt idx="181">
                  <c:v>39605</c:v>
                </c:pt>
                <c:pt idx="182">
                  <c:v>39608</c:v>
                </c:pt>
                <c:pt idx="183">
                  <c:v>39609</c:v>
                </c:pt>
                <c:pt idx="184">
                  <c:v>39610</c:v>
                </c:pt>
                <c:pt idx="185">
                  <c:v>39611</c:v>
                </c:pt>
                <c:pt idx="186">
                  <c:v>39612</c:v>
                </c:pt>
                <c:pt idx="187">
                  <c:v>39615</c:v>
                </c:pt>
                <c:pt idx="188">
                  <c:v>39616</c:v>
                </c:pt>
                <c:pt idx="189">
                  <c:v>39617</c:v>
                </c:pt>
                <c:pt idx="190">
                  <c:v>39618</c:v>
                </c:pt>
                <c:pt idx="191">
                  <c:v>39619</c:v>
                </c:pt>
                <c:pt idx="192">
                  <c:v>39622</c:v>
                </c:pt>
                <c:pt idx="193">
                  <c:v>39623</c:v>
                </c:pt>
                <c:pt idx="194">
                  <c:v>39624</c:v>
                </c:pt>
                <c:pt idx="195">
                  <c:v>39625</c:v>
                </c:pt>
                <c:pt idx="196">
                  <c:v>39626</c:v>
                </c:pt>
                <c:pt idx="197">
                  <c:v>39629</c:v>
                </c:pt>
                <c:pt idx="198">
                  <c:v>39630</c:v>
                </c:pt>
                <c:pt idx="199">
                  <c:v>39631</c:v>
                </c:pt>
                <c:pt idx="200">
                  <c:v>39632</c:v>
                </c:pt>
                <c:pt idx="201">
                  <c:v>39636</c:v>
                </c:pt>
                <c:pt idx="202">
                  <c:v>39637</c:v>
                </c:pt>
                <c:pt idx="203">
                  <c:v>39638</c:v>
                </c:pt>
                <c:pt idx="204">
                  <c:v>39639</c:v>
                </c:pt>
                <c:pt idx="205">
                  <c:v>39640</c:v>
                </c:pt>
                <c:pt idx="206">
                  <c:v>39643</c:v>
                </c:pt>
                <c:pt idx="207">
                  <c:v>39644</c:v>
                </c:pt>
                <c:pt idx="208">
                  <c:v>39645</c:v>
                </c:pt>
                <c:pt idx="209">
                  <c:v>39646</c:v>
                </c:pt>
                <c:pt idx="210">
                  <c:v>39647</c:v>
                </c:pt>
                <c:pt idx="211">
                  <c:v>39650</c:v>
                </c:pt>
                <c:pt idx="212">
                  <c:v>39651</c:v>
                </c:pt>
                <c:pt idx="213">
                  <c:v>39652</c:v>
                </c:pt>
                <c:pt idx="214">
                  <c:v>39653</c:v>
                </c:pt>
                <c:pt idx="215">
                  <c:v>39654</c:v>
                </c:pt>
                <c:pt idx="216">
                  <c:v>39657</c:v>
                </c:pt>
                <c:pt idx="217">
                  <c:v>39658</c:v>
                </c:pt>
                <c:pt idx="218">
                  <c:v>39659</c:v>
                </c:pt>
                <c:pt idx="219">
                  <c:v>39660</c:v>
                </c:pt>
                <c:pt idx="220">
                  <c:v>39661</c:v>
                </c:pt>
                <c:pt idx="221">
                  <c:v>39664</c:v>
                </c:pt>
                <c:pt idx="222">
                  <c:v>39665</c:v>
                </c:pt>
                <c:pt idx="223">
                  <c:v>39666</c:v>
                </c:pt>
                <c:pt idx="224">
                  <c:v>39667</c:v>
                </c:pt>
                <c:pt idx="225">
                  <c:v>39668</c:v>
                </c:pt>
                <c:pt idx="226">
                  <c:v>39671</c:v>
                </c:pt>
                <c:pt idx="227">
                  <c:v>39672</c:v>
                </c:pt>
                <c:pt idx="228">
                  <c:v>39673</c:v>
                </c:pt>
                <c:pt idx="229">
                  <c:v>39674</c:v>
                </c:pt>
                <c:pt idx="230">
                  <c:v>39675</c:v>
                </c:pt>
                <c:pt idx="231">
                  <c:v>39678</c:v>
                </c:pt>
                <c:pt idx="232">
                  <c:v>39679</c:v>
                </c:pt>
                <c:pt idx="233">
                  <c:v>39680</c:v>
                </c:pt>
                <c:pt idx="234">
                  <c:v>39681</c:v>
                </c:pt>
                <c:pt idx="235">
                  <c:v>39682</c:v>
                </c:pt>
                <c:pt idx="236">
                  <c:v>39685</c:v>
                </c:pt>
                <c:pt idx="237">
                  <c:v>39686</c:v>
                </c:pt>
                <c:pt idx="238">
                  <c:v>39687</c:v>
                </c:pt>
                <c:pt idx="239">
                  <c:v>39688</c:v>
                </c:pt>
                <c:pt idx="240">
                  <c:v>39689</c:v>
                </c:pt>
                <c:pt idx="241">
                  <c:v>39693</c:v>
                </c:pt>
                <c:pt idx="242">
                  <c:v>39694</c:v>
                </c:pt>
                <c:pt idx="243">
                  <c:v>39695</c:v>
                </c:pt>
                <c:pt idx="244">
                  <c:v>39696</c:v>
                </c:pt>
                <c:pt idx="245">
                  <c:v>39699</c:v>
                </c:pt>
                <c:pt idx="246">
                  <c:v>39700</c:v>
                </c:pt>
                <c:pt idx="247">
                  <c:v>39701</c:v>
                </c:pt>
                <c:pt idx="248">
                  <c:v>39702</c:v>
                </c:pt>
                <c:pt idx="249">
                  <c:v>39703</c:v>
                </c:pt>
                <c:pt idx="250">
                  <c:v>39706</c:v>
                </c:pt>
                <c:pt idx="251">
                  <c:v>39707</c:v>
                </c:pt>
                <c:pt idx="252">
                  <c:v>39708</c:v>
                </c:pt>
                <c:pt idx="253">
                  <c:v>39709</c:v>
                </c:pt>
                <c:pt idx="254">
                  <c:v>39710</c:v>
                </c:pt>
                <c:pt idx="255">
                  <c:v>39713</c:v>
                </c:pt>
                <c:pt idx="256">
                  <c:v>39714</c:v>
                </c:pt>
                <c:pt idx="257">
                  <c:v>39715</c:v>
                </c:pt>
                <c:pt idx="258">
                  <c:v>39716</c:v>
                </c:pt>
                <c:pt idx="259">
                  <c:v>39717</c:v>
                </c:pt>
                <c:pt idx="260">
                  <c:v>39720</c:v>
                </c:pt>
                <c:pt idx="261">
                  <c:v>39721</c:v>
                </c:pt>
                <c:pt idx="262">
                  <c:v>39722</c:v>
                </c:pt>
                <c:pt idx="263">
                  <c:v>39723</c:v>
                </c:pt>
                <c:pt idx="264">
                  <c:v>39724</c:v>
                </c:pt>
                <c:pt idx="265">
                  <c:v>39727</c:v>
                </c:pt>
                <c:pt idx="266">
                  <c:v>39728</c:v>
                </c:pt>
                <c:pt idx="267">
                  <c:v>39729</c:v>
                </c:pt>
                <c:pt idx="268">
                  <c:v>39730</c:v>
                </c:pt>
                <c:pt idx="269">
                  <c:v>39731</c:v>
                </c:pt>
                <c:pt idx="270">
                  <c:v>39734</c:v>
                </c:pt>
                <c:pt idx="271">
                  <c:v>39735</c:v>
                </c:pt>
                <c:pt idx="272">
                  <c:v>39736</c:v>
                </c:pt>
                <c:pt idx="273">
                  <c:v>39737</c:v>
                </c:pt>
                <c:pt idx="274">
                  <c:v>39738</c:v>
                </c:pt>
                <c:pt idx="275">
                  <c:v>39741</c:v>
                </c:pt>
                <c:pt idx="276">
                  <c:v>39742</c:v>
                </c:pt>
                <c:pt idx="277">
                  <c:v>39743</c:v>
                </c:pt>
                <c:pt idx="278">
                  <c:v>39744</c:v>
                </c:pt>
                <c:pt idx="279">
                  <c:v>39745</c:v>
                </c:pt>
                <c:pt idx="280">
                  <c:v>39748</c:v>
                </c:pt>
                <c:pt idx="281">
                  <c:v>39749</c:v>
                </c:pt>
                <c:pt idx="282">
                  <c:v>39750</c:v>
                </c:pt>
                <c:pt idx="283">
                  <c:v>39751</c:v>
                </c:pt>
                <c:pt idx="284">
                  <c:v>39752</c:v>
                </c:pt>
                <c:pt idx="285">
                  <c:v>39755</c:v>
                </c:pt>
                <c:pt idx="286">
                  <c:v>39756</c:v>
                </c:pt>
                <c:pt idx="287">
                  <c:v>39757</c:v>
                </c:pt>
                <c:pt idx="288">
                  <c:v>39758</c:v>
                </c:pt>
                <c:pt idx="289">
                  <c:v>39759</c:v>
                </c:pt>
                <c:pt idx="290">
                  <c:v>39762</c:v>
                </c:pt>
                <c:pt idx="291">
                  <c:v>39763</c:v>
                </c:pt>
                <c:pt idx="292">
                  <c:v>39764</c:v>
                </c:pt>
                <c:pt idx="293">
                  <c:v>39765</c:v>
                </c:pt>
                <c:pt idx="294">
                  <c:v>39766</c:v>
                </c:pt>
                <c:pt idx="295">
                  <c:v>39769</c:v>
                </c:pt>
                <c:pt idx="296">
                  <c:v>39770</c:v>
                </c:pt>
                <c:pt idx="297">
                  <c:v>39771</c:v>
                </c:pt>
                <c:pt idx="298">
                  <c:v>39772</c:v>
                </c:pt>
                <c:pt idx="299">
                  <c:v>39773</c:v>
                </c:pt>
                <c:pt idx="300">
                  <c:v>39776</c:v>
                </c:pt>
                <c:pt idx="301">
                  <c:v>39777</c:v>
                </c:pt>
                <c:pt idx="302">
                  <c:v>39778</c:v>
                </c:pt>
                <c:pt idx="303">
                  <c:v>39780</c:v>
                </c:pt>
                <c:pt idx="304">
                  <c:v>39783</c:v>
                </c:pt>
                <c:pt idx="305">
                  <c:v>39784</c:v>
                </c:pt>
                <c:pt idx="306">
                  <c:v>39785</c:v>
                </c:pt>
                <c:pt idx="307">
                  <c:v>39786</c:v>
                </c:pt>
                <c:pt idx="308">
                  <c:v>39787</c:v>
                </c:pt>
                <c:pt idx="309">
                  <c:v>39790</c:v>
                </c:pt>
                <c:pt idx="310">
                  <c:v>39791</c:v>
                </c:pt>
                <c:pt idx="311">
                  <c:v>39792</c:v>
                </c:pt>
                <c:pt idx="312">
                  <c:v>39793</c:v>
                </c:pt>
                <c:pt idx="313">
                  <c:v>39794</c:v>
                </c:pt>
                <c:pt idx="314">
                  <c:v>39797</c:v>
                </c:pt>
                <c:pt idx="315">
                  <c:v>39798</c:v>
                </c:pt>
                <c:pt idx="316">
                  <c:v>39799</c:v>
                </c:pt>
                <c:pt idx="317">
                  <c:v>39800</c:v>
                </c:pt>
                <c:pt idx="318">
                  <c:v>39801</c:v>
                </c:pt>
                <c:pt idx="319">
                  <c:v>39804</c:v>
                </c:pt>
                <c:pt idx="320">
                  <c:v>39805</c:v>
                </c:pt>
                <c:pt idx="321">
                  <c:v>39806</c:v>
                </c:pt>
                <c:pt idx="322">
                  <c:v>39808</c:v>
                </c:pt>
                <c:pt idx="323">
                  <c:v>39811</c:v>
                </c:pt>
                <c:pt idx="324">
                  <c:v>39812</c:v>
                </c:pt>
                <c:pt idx="325">
                  <c:v>39813</c:v>
                </c:pt>
              </c:numCache>
            </c:numRef>
          </c:cat>
          <c:val>
            <c:numRef>
              <c:f>indexes!$H$2:$H$328</c:f>
              <c:numCache>
                <c:formatCode>General</c:formatCode>
                <c:ptCount val="327"/>
                <c:pt idx="0">
                  <c:v>100</c:v>
                </c:pt>
                <c:pt idx="1">
                  <c:v>104.70373369945065</c:v>
                </c:pt>
                <c:pt idx="2">
                  <c:v>106.92383917049541</c:v>
                </c:pt>
                <c:pt idx="3">
                  <c:v>105.17844425861922</c:v>
                </c:pt>
                <c:pt idx="4">
                  <c:v>105.09184401461131</c:v>
                </c:pt>
                <c:pt idx="5">
                  <c:v>103.396283657851</c:v>
                </c:pt>
                <c:pt idx="6">
                  <c:v>102.58339962686557</c:v>
                </c:pt>
                <c:pt idx="7">
                  <c:v>103.26519854220523</c:v>
                </c:pt>
                <c:pt idx="8">
                  <c:v>104.01571671027217</c:v>
                </c:pt>
                <c:pt idx="9">
                  <c:v>102.56407120813448</c:v>
                </c:pt>
                <c:pt idx="10">
                  <c:v>105.19624679319543</c:v>
                </c:pt>
                <c:pt idx="11">
                  <c:v>106.67156402114622</c:v>
                </c:pt>
                <c:pt idx="12">
                  <c:v>105.76207326050324</c:v>
                </c:pt>
                <c:pt idx="13">
                  <c:v>106.2210610368974</c:v>
                </c:pt>
                <c:pt idx="14">
                  <c:v>107.79722167200293</c:v>
                </c:pt>
                <c:pt idx="15">
                  <c:v>106.92302089793311</c:v>
                </c:pt>
                <c:pt idx="16">
                  <c:v>107.36064634360405</c:v>
                </c:pt>
                <c:pt idx="17">
                  <c:v>106.61033896591742</c:v>
                </c:pt>
                <c:pt idx="18">
                  <c:v>105.57852206285571</c:v>
                </c:pt>
                <c:pt idx="19">
                  <c:v>105.56072997964273</c:v>
                </c:pt>
                <c:pt idx="20">
                  <c:v>103.39914613732404</c:v>
                </c:pt>
                <c:pt idx="21">
                  <c:v>101.60531944154448</c:v>
                </c:pt>
                <c:pt idx="22">
                  <c:v>100.61683506078636</c:v>
                </c:pt>
                <c:pt idx="23">
                  <c:v>99.661413518589157</c:v>
                </c:pt>
                <c:pt idx="24">
                  <c:v>96.094902548753481</c:v>
                </c:pt>
                <c:pt idx="25">
                  <c:v>97.555248255945799</c:v>
                </c:pt>
                <c:pt idx="26">
                  <c:v>97.806863447287427</c:v>
                </c:pt>
                <c:pt idx="27">
                  <c:v>96.348686501154759</c:v>
                </c:pt>
                <c:pt idx="28">
                  <c:v>95.474542509541919</c:v>
                </c:pt>
                <c:pt idx="29">
                  <c:v>97.732207917992213</c:v>
                </c:pt>
                <c:pt idx="30">
                  <c:v>97.459878245899489</c:v>
                </c:pt>
                <c:pt idx="31">
                  <c:v>96.612452857964144</c:v>
                </c:pt>
                <c:pt idx="32">
                  <c:v>97.380978002187689</c:v>
                </c:pt>
                <c:pt idx="33">
                  <c:v>91.751118005671003</c:v>
                </c:pt>
                <c:pt idx="34">
                  <c:v>90.285609500335397</c:v>
                </c:pt>
                <c:pt idx="35">
                  <c:v>89.365098533208425</c:v>
                </c:pt>
                <c:pt idx="36">
                  <c:v>91.175781645333288</c:v>
                </c:pt>
                <c:pt idx="37">
                  <c:v>86.985436918229425</c:v>
                </c:pt>
                <c:pt idx="38">
                  <c:v>88.678306093094861</c:v>
                </c:pt>
                <c:pt idx="39">
                  <c:v>89.884382278621345</c:v>
                </c:pt>
                <c:pt idx="40">
                  <c:v>89.892473716545297</c:v>
                </c:pt>
                <c:pt idx="41">
                  <c:v>93.629841646028055</c:v>
                </c:pt>
                <c:pt idx="42">
                  <c:v>92.472837487012313</c:v>
                </c:pt>
                <c:pt idx="43">
                  <c:v>89.988046702463137</c:v>
                </c:pt>
                <c:pt idx="44">
                  <c:v>89.086197452409309</c:v>
                </c:pt>
                <c:pt idx="45">
                  <c:v>86.530132990505408</c:v>
                </c:pt>
                <c:pt idx="46">
                  <c:v>85.89222309085153</c:v>
                </c:pt>
                <c:pt idx="47">
                  <c:v>84.90190110839022</c:v>
                </c:pt>
                <c:pt idx="48">
                  <c:v>87.182104038197011</c:v>
                </c:pt>
                <c:pt idx="49">
                  <c:v>83.122179354502478</c:v>
                </c:pt>
                <c:pt idx="50">
                  <c:v>84.42037551581538</c:v>
                </c:pt>
                <c:pt idx="51">
                  <c:v>88.234860397053254</c:v>
                </c:pt>
                <c:pt idx="52">
                  <c:v>87.166734877465771</c:v>
                </c:pt>
                <c:pt idx="53">
                  <c:v>88.569332374430644</c:v>
                </c:pt>
                <c:pt idx="54">
                  <c:v>87.526643637098502</c:v>
                </c:pt>
                <c:pt idx="55">
                  <c:v>86.162801869127819</c:v>
                </c:pt>
                <c:pt idx="56">
                  <c:v>87.613194827838981</c:v>
                </c:pt>
                <c:pt idx="57">
                  <c:v>90.633299569522563</c:v>
                </c:pt>
                <c:pt idx="58">
                  <c:v>90.47679153324367</c:v>
                </c:pt>
                <c:pt idx="59">
                  <c:v>92.116826631114591</c:v>
                </c:pt>
                <c:pt idx="60">
                  <c:v>87.934706898255243</c:v>
                </c:pt>
                <c:pt idx="61">
                  <c:v>87.434663046840868</c:v>
                </c:pt>
                <c:pt idx="62">
                  <c:v>86.791186694179927</c:v>
                </c:pt>
                <c:pt idx="63">
                  <c:v>84.630152834338119</c:v>
                </c:pt>
                <c:pt idx="64">
                  <c:v>83.526609222548856</c:v>
                </c:pt>
                <c:pt idx="65">
                  <c:v>85.105651853725647</c:v>
                </c:pt>
                <c:pt idx="66">
                  <c:v>84.825395281983518</c:v>
                </c:pt>
                <c:pt idx="67">
                  <c:v>84.822947214787888</c:v>
                </c:pt>
                <c:pt idx="68">
                  <c:v>87.376326116712548</c:v>
                </c:pt>
                <c:pt idx="69">
                  <c:v>88.324969105336095</c:v>
                </c:pt>
                <c:pt idx="70">
                  <c:v>88.677164403969087</c:v>
                </c:pt>
                <c:pt idx="71">
                  <c:v>85.673252621443282</c:v>
                </c:pt>
                <c:pt idx="72">
                  <c:v>84.420016872766155</c:v>
                </c:pt>
                <c:pt idx="73">
                  <c:v>84.425108228968853</c:v>
                </c:pt>
                <c:pt idx="74">
                  <c:v>82.568913576264478</c:v>
                </c:pt>
                <c:pt idx="75">
                  <c:v>81.2269710547627</c:v>
                </c:pt>
                <c:pt idx="76">
                  <c:v>78.446662332244387</c:v>
                </c:pt>
                <c:pt idx="77">
                  <c:v>79.202965912085219</c:v>
                </c:pt>
                <c:pt idx="78">
                  <c:v>75.917401379326307</c:v>
                </c:pt>
                <c:pt idx="79">
                  <c:v>76.503082685871036</c:v>
                </c:pt>
                <c:pt idx="80">
                  <c:v>78.049217187442267</c:v>
                </c:pt>
                <c:pt idx="81">
                  <c:v>76.919123402401667</c:v>
                </c:pt>
                <c:pt idx="82">
                  <c:v>77.276520943744771</c:v>
                </c:pt>
                <c:pt idx="83">
                  <c:v>75.540067520649131</c:v>
                </c:pt>
                <c:pt idx="84">
                  <c:v>76.525979586455946</c:v>
                </c:pt>
                <c:pt idx="85">
                  <c:v>73.084733199560972</c:v>
                </c:pt>
                <c:pt idx="86">
                  <c:v>71.970418729172124</c:v>
                </c:pt>
                <c:pt idx="87">
                  <c:v>73.675379202773726</c:v>
                </c:pt>
                <c:pt idx="88">
                  <c:v>79.129077945843818</c:v>
                </c:pt>
                <c:pt idx="89">
                  <c:v>79.584855313250458</c:v>
                </c:pt>
                <c:pt idx="90">
                  <c:v>78.311742124726038</c:v>
                </c:pt>
                <c:pt idx="91">
                  <c:v>80.708972096512241</c:v>
                </c:pt>
                <c:pt idx="92">
                  <c:v>81.713550021003627</c:v>
                </c:pt>
                <c:pt idx="93">
                  <c:v>80.965849710669119</c:v>
                </c:pt>
                <c:pt idx="94">
                  <c:v>84.037100425428676</c:v>
                </c:pt>
                <c:pt idx="95">
                  <c:v>85.798218070464458</c:v>
                </c:pt>
                <c:pt idx="96">
                  <c:v>83.907939848183915</c:v>
                </c:pt>
                <c:pt idx="97">
                  <c:v>81.020809582950648</c:v>
                </c:pt>
                <c:pt idx="98">
                  <c:v>80.161682698125674</c:v>
                </c:pt>
                <c:pt idx="99">
                  <c:v>81.646247922111016</c:v>
                </c:pt>
                <c:pt idx="100">
                  <c:v>80.277340057528619</c:v>
                </c:pt>
                <c:pt idx="101">
                  <c:v>79.166811641478347</c:v>
                </c:pt>
                <c:pt idx="102">
                  <c:v>79.773059964530006</c:v>
                </c:pt>
                <c:pt idx="103">
                  <c:v>80.811046088678864</c:v>
                </c:pt>
                <c:pt idx="104">
                  <c:v>78.797118685580926</c:v>
                </c:pt>
                <c:pt idx="105">
                  <c:v>78.827174645846227</c:v>
                </c:pt>
                <c:pt idx="106">
                  <c:v>78.198418469942325</c:v>
                </c:pt>
                <c:pt idx="107">
                  <c:v>79.48067455138947</c:v>
                </c:pt>
                <c:pt idx="108">
                  <c:v>77.668124632729388</c:v>
                </c:pt>
                <c:pt idx="109">
                  <c:v>77.941895415049927</c:v>
                </c:pt>
                <c:pt idx="110">
                  <c:v>79.342826036497996</c:v>
                </c:pt>
                <c:pt idx="111">
                  <c:v>80.013504425958502</c:v>
                </c:pt>
                <c:pt idx="112">
                  <c:v>79.951738724655286</c:v>
                </c:pt>
                <c:pt idx="113">
                  <c:v>77.893156325759719</c:v>
                </c:pt>
                <c:pt idx="114">
                  <c:v>75.159800127618567</c:v>
                </c:pt>
                <c:pt idx="115">
                  <c:v>74.060779880547983</c:v>
                </c:pt>
                <c:pt idx="116">
                  <c:v>73.553236309575382</c:v>
                </c:pt>
                <c:pt idx="117">
                  <c:v>72.768876370327249</c:v>
                </c:pt>
                <c:pt idx="118">
                  <c:v>69.929717720593459</c:v>
                </c:pt>
                <c:pt idx="119">
                  <c:v>70.613312434767479</c:v>
                </c:pt>
                <c:pt idx="120">
                  <c:v>69.129121896184245</c:v>
                </c:pt>
                <c:pt idx="121">
                  <c:v>73.578940609463558</c:v>
                </c:pt>
                <c:pt idx="122">
                  <c:v>72.370516978836449</c:v>
                </c:pt>
                <c:pt idx="123">
                  <c:v>73.463838001379315</c:v>
                </c:pt>
                <c:pt idx="124">
                  <c:v>71.118302440396818</c:v>
                </c:pt>
                <c:pt idx="125">
                  <c:v>69.222591052242279</c:v>
                </c:pt>
                <c:pt idx="126">
                  <c:v>73.075219894780588</c:v>
                </c:pt>
                <c:pt idx="127">
                  <c:v>71.828047918368199</c:v>
                </c:pt>
                <c:pt idx="128">
                  <c:v>75.443168988244551</c:v>
                </c:pt>
                <c:pt idx="129">
                  <c:v>77.100201700528089</c:v>
                </c:pt>
                <c:pt idx="130">
                  <c:v>77.440823201903441</c:v>
                </c:pt>
                <c:pt idx="131">
                  <c:v>76.075477782088157</c:v>
                </c:pt>
                <c:pt idx="132">
                  <c:v>74.522683021896</c:v>
                </c:pt>
                <c:pt idx="133">
                  <c:v>72.72740846671681</c:v>
                </c:pt>
                <c:pt idx="134">
                  <c:v>72.990527431581398</c:v>
                </c:pt>
                <c:pt idx="135">
                  <c:v>76.374513523561419</c:v>
                </c:pt>
                <c:pt idx="136">
                  <c:v>76.372210115900188</c:v>
                </c:pt>
                <c:pt idx="137">
                  <c:v>76.023489906873408</c:v>
                </c:pt>
                <c:pt idx="138">
                  <c:v>74.711609051457614</c:v>
                </c:pt>
                <c:pt idx="139">
                  <c:v>75.205541972392808</c:v>
                </c:pt>
                <c:pt idx="140">
                  <c:v>74.149934161672732</c:v>
                </c:pt>
                <c:pt idx="141">
                  <c:v>71.867810960183292</c:v>
                </c:pt>
                <c:pt idx="142">
                  <c:v>72.137044344241872</c:v>
                </c:pt>
                <c:pt idx="143">
                  <c:v>70.300725464238027</c:v>
                </c:pt>
                <c:pt idx="144">
                  <c:v>68.71526462639919</c:v>
                </c:pt>
                <c:pt idx="145">
                  <c:v>69.810351492454188</c:v>
                </c:pt>
                <c:pt idx="146">
                  <c:v>71.899601484698735</c:v>
                </c:pt>
                <c:pt idx="147">
                  <c:v>72.232361502632358</c:v>
                </c:pt>
                <c:pt idx="148">
                  <c:v>73.44729924701889</c:v>
                </c:pt>
                <c:pt idx="149">
                  <c:v>71.741310322354508</c:v>
                </c:pt>
                <c:pt idx="150">
                  <c:v>70.444459343916208</c:v>
                </c:pt>
                <c:pt idx="151">
                  <c:v>69.545740350178178</c:v>
                </c:pt>
                <c:pt idx="152">
                  <c:v>71.742668116540088</c:v>
                </c:pt>
                <c:pt idx="153">
                  <c:v>72.34847589314117</c:v>
                </c:pt>
                <c:pt idx="154">
                  <c:v>73.120034336879755</c:v>
                </c:pt>
                <c:pt idx="155">
                  <c:v>72.695686550579666</c:v>
                </c:pt>
                <c:pt idx="156">
                  <c:v>71.676603797772515</c:v>
                </c:pt>
                <c:pt idx="157">
                  <c:v>74.22882319110461</c:v>
                </c:pt>
                <c:pt idx="158">
                  <c:v>73.591696882614315</c:v>
                </c:pt>
                <c:pt idx="159">
                  <c:v>72.805141976363558</c:v>
                </c:pt>
                <c:pt idx="160">
                  <c:v>73.356758773323975</c:v>
                </c:pt>
                <c:pt idx="161">
                  <c:v>70.966742593359271</c:v>
                </c:pt>
                <c:pt idx="162">
                  <c:v>70.289103226970667</c:v>
                </c:pt>
                <c:pt idx="163">
                  <c:v>69.874215687123097</c:v>
                </c:pt>
                <c:pt idx="164">
                  <c:v>71.292748272559223</c:v>
                </c:pt>
                <c:pt idx="165">
                  <c:v>70.708469869902416</c:v>
                </c:pt>
                <c:pt idx="166">
                  <c:v>70.512668931285106</c:v>
                </c:pt>
                <c:pt idx="167">
                  <c:v>71.087998747186319</c:v>
                </c:pt>
                <c:pt idx="168">
                  <c:v>70.183817722168953</c:v>
                </c:pt>
                <c:pt idx="169">
                  <c:v>69.936533478448894</c:v>
                </c:pt>
                <c:pt idx="170">
                  <c:v>69.030303512323343</c:v>
                </c:pt>
                <c:pt idx="171">
                  <c:v>68.013346604293034</c:v>
                </c:pt>
                <c:pt idx="172">
                  <c:v>68.920210768204726</c:v>
                </c:pt>
                <c:pt idx="173">
                  <c:v>67.892974236663164</c:v>
                </c:pt>
                <c:pt idx="174">
                  <c:v>68.74411136748833</c:v>
                </c:pt>
                <c:pt idx="175">
                  <c:v>68.024124007430885</c:v>
                </c:pt>
                <c:pt idx="176">
                  <c:v>68.85478540381915</c:v>
                </c:pt>
                <c:pt idx="177">
                  <c:v>68.519860778271934</c:v>
                </c:pt>
                <c:pt idx="178">
                  <c:v>67.235193713564158</c:v>
                </c:pt>
                <c:pt idx="179">
                  <c:v>66.875819276140078</c:v>
                </c:pt>
                <c:pt idx="180">
                  <c:v>66.584999715069216</c:v>
                </c:pt>
                <c:pt idx="181">
                  <c:v>67.76080709336722</c:v>
                </c:pt>
                <c:pt idx="182">
                  <c:v>64.787499024865923</c:v>
                </c:pt>
                <c:pt idx="183">
                  <c:v>63.367180836236145</c:v>
                </c:pt>
                <c:pt idx="184">
                  <c:v>63.425333404081023</c:v>
                </c:pt>
                <c:pt idx="185">
                  <c:v>61.176187934818962</c:v>
                </c:pt>
                <c:pt idx="186">
                  <c:v>61.631027310059963</c:v>
                </c:pt>
                <c:pt idx="187">
                  <c:v>61.970596496585813</c:v>
                </c:pt>
                <c:pt idx="188">
                  <c:v>62.911605444972594</c:v>
                </c:pt>
                <c:pt idx="189">
                  <c:v>61.204501437606467</c:v>
                </c:pt>
                <c:pt idx="190">
                  <c:v>59.696466422038156</c:v>
                </c:pt>
                <c:pt idx="191">
                  <c:v>59.546908656378982</c:v>
                </c:pt>
                <c:pt idx="192">
                  <c:v>58.595682222634139</c:v>
                </c:pt>
                <c:pt idx="193">
                  <c:v>56.399301781542178</c:v>
                </c:pt>
                <c:pt idx="194">
                  <c:v>56.292141957043818</c:v>
                </c:pt>
                <c:pt idx="195">
                  <c:v>56.95443634842168</c:v>
                </c:pt>
                <c:pt idx="196">
                  <c:v>55.30482544574236</c:v>
                </c:pt>
                <c:pt idx="197">
                  <c:v>54.553893649414825</c:v>
                </c:pt>
                <c:pt idx="198">
                  <c:v>52.41316029546622</c:v>
                </c:pt>
                <c:pt idx="199">
                  <c:v>52.727196814868321</c:v>
                </c:pt>
                <c:pt idx="200">
                  <c:v>51.461904392047494</c:v>
                </c:pt>
                <c:pt idx="201">
                  <c:v>50.535285458910991</c:v>
                </c:pt>
                <c:pt idx="202">
                  <c:v>48.818201535341899</c:v>
                </c:pt>
                <c:pt idx="203">
                  <c:v>52.375379916178879</c:v>
                </c:pt>
                <c:pt idx="204">
                  <c:v>49.750944623741894</c:v>
                </c:pt>
                <c:pt idx="205">
                  <c:v>49.462206566016192</c:v>
                </c:pt>
                <c:pt idx="206">
                  <c:v>49.053931030974681</c:v>
                </c:pt>
                <c:pt idx="207">
                  <c:v>45.956025158646874</c:v>
                </c:pt>
                <c:pt idx="208">
                  <c:v>45.316462176073422</c:v>
                </c:pt>
                <c:pt idx="209">
                  <c:v>49.818739034092545</c:v>
                </c:pt>
                <c:pt idx="210">
                  <c:v>53.642289817972404</c:v>
                </c:pt>
                <c:pt idx="211">
                  <c:v>53.373869851981155</c:v>
                </c:pt>
                <c:pt idx="212">
                  <c:v>53.292423795037969</c:v>
                </c:pt>
                <c:pt idx="213">
                  <c:v>56.27722803300918</c:v>
                </c:pt>
                <c:pt idx="214">
                  <c:v>58.229651730483333</c:v>
                </c:pt>
                <c:pt idx="215">
                  <c:v>54.844393378364494</c:v>
                </c:pt>
                <c:pt idx="216">
                  <c:v>55.030930268292806</c:v>
                </c:pt>
                <c:pt idx="217">
                  <c:v>52.771566578720773</c:v>
                </c:pt>
                <c:pt idx="218">
                  <c:v>56.223033267896625</c:v>
                </c:pt>
                <c:pt idx="219">
                  <c:v>56.403194144949332</c:v>
                </c:pt>
                <c:pt idx="220">
                  <c:v>56.206170418714819</c:v>
                </c:pt>
                <c:pt idx="221">
                  <c:v>57.485800014382001</c:v>
                </c:pt>
                <c:pt idx="222">
                  <c:v>56.66504783967455</c:v>
                </c:pt>
                <c:pt idx="223">
                  <c:v>58.909605671180394</c:v>
                </c:pt>
                <c:pt idx="224">
                  <c:v>59.298225754141413</c:v>
                </c:pt>
                <c:pt idx="225">
                  <c:v>57.232052853180036</c:v>
                </c:pt>
                <c:pt idx="226">
                  <c:v>59.413747276914044</c:v>
                </c:pt>
                <c:pt idx="227">
                  <c:v>61.703473130845886</c:v>
                </c:pt>
                <c:pt idx="228">
                  <c:v>60.136104199111649</c:v>
                </c:pt>
                <c:pt idx="229">
                  <c:v>58.833088651487294</c:v>
                </c:pt>
                <c:pt idx="230">
                  <c:v>60.021538755179378</c:v>
                </c:pt>
                <c:pt idx="231">
                  <c:v>60.50552543711693</c:v>
                </c:pt>
                <c:pt idx="232">
                  <c:v>58.823077411131024</c:v>
                </c:pt>
                <c:pt idx="233">
                  <c:v>57.246621201683368</c:v>
                </c:pt>
                <c:pt idx="234">
                  <c:v>56.992837872615993</c:v>
                </c:pt>
                <c:pt idx="235">
                  <c:v>56.286475032508179</c:v>
                </c:pt>
                <c:pt idx="236">
                  <c:v>57.692460234078219</c:v>
                </c:pt>
                <c:pt idx="237">
                  <c:v>55.926226771821284</c:v>
                </c:pt>
                <c:pt idx="238">
                  <c:v>56.315933768692794</c:v>
                </c:pt>
                <c:pt idx="239">
                  <c:v>57.168404014865963</c:v>
                </c:pt>
                <c:pt idx="240">
                  <c:v>59.469928116520968</c:v>
                </c:pt>
                <c:pt idx="241">
                  <c:v>59.168273150891466</c:v>
                </c:pt>
                <c:pt idx="242">
                  <c:v>60.194206924917182</c:v>
                </c:pt>
                <c:pt idx="243">
                  <c:v>61.800630222735322</c:v>
                </c:pt>
                <c:pt idx="244">
                  <c:v>59.647670930943868</c:v>
                </c:pt>
                <c:pt idx="245">
                  <c:v>60.771601421682917</c:v>
                </c:pt>
                <c:pt idx="246">
                  <c:v>62.148311536570766</c:v>
                </c:pt>
                <c:pt idx="247">
                  <c:v>59.449474424988999</c:v>
                </c:pt>
                <c:pt idx="248">
                  <c:v>59.630080998664454</c:v>
                </c:pt>
                <c:pt idx="249">
                  <c:v>59.641388850866072</c:v>
                </c:pt>
                <c:pt idx="250">
                  <c:v>60.190286752588456</c:v>
                </c:pt>
                <c:pt idx="251">
                  <c:v>56.458113469711776</c:v>
                </c:pt>
                <c:pt idx="252">
                  <c:v>58.781465935195762</c:v>
                </c:pt>
                <c:pt idx="253">
                  <c:v>55.373897115141972</c:v>
                </c:pt>
                <c:pt idx="254">
                  <c:v>63.294999981564615</c:v>
                </c:pt>
                <c:pt idx="255">
                  <c:v>67.896713066967067</c:v>
                </c:pt>
                <c:pt idx="256">
                  <c:v>62.490385960924513</c:v>
                </c:pt>
                <c:pt idx="257">
                  <c:v>61.987177621648243</c:v>
                </c:pt>
                <c:pt idx="258">
                  <c:v>61.484582224690115</c:v>
                </c:pt>
                <c:pt idx="259">
                  <c:v>61.995272184907463</c:v>
                </c:pt>
                <c:pt idx="260">
                  <c:v>61.294382320047212</c:v>
                </c:pt>
                <c:pt idx="261">
                  <c:v>54.030477144806049</c:v>
                </c:pt>
                <c:pt idx="262">
                  <c:v>57.136611695407723</c:v>
                </c:pt>
                <c:pt idx="263">
                  <c:v>58.4135147124734</c:v>
                </c:pt>
                <c:pt idx="264">
                  <c:v>56.493688160156275</c:v>
                </c:pt>
                <c:pt idx="265">
                  <c:v>55.131192996469558</c:v>
                </c:pt>
                <c:pt idx="266">
                  <c:v>52.699916721533079</c:v>
                </c:pt>
                <c:pt idx="267">
                  <c:v>48.058424897258874</c:v>
                </c:pt>
                <c:pt idx="268">
                  <c:v>46.26690530817698</c:v>
                </c:pt>
                <c:pt idx="269">
                  <c:v>39.019778375429667</c:v>
                </c:pt>
                <c:pt idx="270">
                  <c:v>42.460094235132246</c:v>
                </c:pt>
                <c:pt idx="271">
                  <c:v>46.032016534116011</c:v>
                </c:pt>
                <c:pt idx="272">
                  <c:v>46.771788195339305</c:v>
                </c:pt>
                <c:pt idx="273">
                  <c:v>42.945630141723065</c:v>
                </c:pt>
                <c:pt idx="274">
                  <c:v>45.673409480775625</c:v>
                </c:pt>
                <c:pt idx="275">
                  <c:v>44.456554368755427</c:v>
                </c:pt>
                <c:pt idx="276">
                  <c:v>45.234184569151978</c:v>
                </c:pt>
                <c:pt idx="277">
                  <c:v>43.604311674333246</c:v>
                </c:pt>
                <c:pt idx="278">
                  <c:v>40.8929897822795</c:v>
                </c:pt>
                <c:pt idx="279">
                  <c:v>39.032481908360644</c:v>
                </c:pt>
                <c:pt idx="280">
                  <c:v>37.566579855209994</c:v>
                </c:pt>
                <c:pt idx="281">
                  <c:v>35.981846938157815</c:v>
                </c:pt>
                <c:pt idx="282">
                  <c:v>39.063002954912001</c:v>
                </c:pt>
                <c:pt idx="283">
                  <c:v>39.589249718169178</c:v>
                </c:pt>
                <c:pt idx="284">
                  <c:v>41.189803894529653</c:v>
                </c:pt>
                <c:pt idx="285">
                  <c:v>43.189972868953333</c:v>
                </c:pt>
                <c:pt idx="286">
                  <c:v>43.44300373487301</c:v>
                </c:pt>
                <c:pt idx="287">
                  <c:v>44.69253056421298</c:v>
                </c:pt>
                <c:pt idx="288">
                  <c:v>41.227204462437754</c:v>
                </c:pt>
                <c:pt idx="289">
                  <c:v>39.120895066395278</c:v>
                </c:pt>
                <c:pt idx="290">
                  <c:v>39.774653280412544</c:v>
                </c:pt>
                <c:pt idx="291">
                  <c:v>37.763276299589322</c:v>
                </c:pt>
                <c:pt idx="292">
                  <c:v>36.643759925316495</c:v>
                </c:pt>
                <c:pt idx="293">
                  <c:v>34.023513231361513</c:v>
                </c:pt>
                <c:pt idx="294">
                  <c:v>36.784584508046308</c:v>
                </c:pt>
                <c:pt idx="295">
                  <c:v>34.01374425045622</c:v>
                </c:pt>
                <c:pt idx="296">
                  <c:v>33.079701299805372</c:v>
                </c:pt>
                <c:pt idx="297">
                  <c:v>32.62480834485843</c:v>
                </c:pt>
                <c:pt idx="298">
                  <c:v>29.068687498292597</c:v>
                </c:pt>
                <c:pt idx="299">
                  <c:v>26.879609915189285</c:v>
                </c:pt>
                <c:pt idx="300">
                  <c:v>28.085547297169423</c:v>
                </c:pt>
                <c:pt idx="301">
                  <c:v>30.805369209840769</c:v>
                </c:pt>
                <c:pt idx="302">
                  <c:v>31.244277091933089</c:v>
                </c:pt>
                <c:pt idx="303">
                  <c:v>33.219112343624936</c:v>
                </c:pt>
                <c:pt idx="304">
                  <c:v>33.669451556241874</c:v>
                </c:pt>
                <c:pt idx="305">
                  <c:v>28.118211442589544</c:v>
                </c:pt>
                <c:pt idx="306">
                  <c:v>30.47207852221463</c:v>
                </c:pt>
                <c:pt idx="307">
                  <c:v>31.380790018745</c:v>
                </c:pt>
                <c:pt idx="308">
                  <c:v>30.795078056104892</c:v>
                </c:pt>
                <c:pt idx="309">
                  <c:v>32.374614226346729</c:v>
                </c:pt>
                <c:pt idx="310">
                  <c:v>33.685394322396782</c:v>
                </c:pt>
                <c:pt idx="311">
                  <c:v>32.168424311898086</c:v>
                </c:pt>
                <c:pt idx="312">
                  <c:v>32.459694459629922</c:v>
                </c:pt>
                <c:pt idx="313">
                  <c:v>30.190063083038815</c:v>
                </c:pt>
                <c:pt idx="314">
                  <c:v>31.292935420781792</c:v>
                </c:pt>
                <c:pt idx="315">
                  <c:v>30.0588583730542</c:v>
                </c:pt>
                <c:pt idx="316">
                  <c:v>32.28838210451368</c:v>
                </c:pt>
                <c:pt idx="317">
                  <c:v>32.039524798810888</c:v>
                </c:pt>
                <c:pt idx="318">
                  <c:v>31.779509456948979</c:v>
                </c:pt>
                <c:pt idx="319">
                  <c:v>32.275297666329053</c:v>
                </c:pt>
                <c:pt idx="320">
                  <c:v>31.347550618230393</c:v>
                </c:pt>
                <c:pt idx="321">
                  <c:v>30.740434223640786</c:v>
                </c:pt>
                <c:pt idx="322">
                  <c:v>30.867554472019538</c:v>
                </c:pt>
                <c:pt idx="323">
                  <c:v>31.235780473212927</c:v>
                </c:pt>
                <c:pt idx="324">
                  <c:v>30.361115706913942</c:v>
                </c:pt>
                <c:pt idx="325">
                  <c:v>31.526647103219883</c:v>
                </c:pt>
                <c:pt idx="326">
                  <c:v>32.744757339836376</c:v>
                </c:pt>
              </c:numCache>
            </c:numRef>
          </c:val>
          <c:smooth val="0"/>
        </c:ser>
        <c:ser>
          <c:idx val="3"/>
          <c:order val="3"/>
          <c:tx>
            <c:strRef>
              <c:f>indexes!$I$1</c:f>
              <c:strCache>
                <c:ptCount val="1"/>
                <c:pt idx="0">
                  <c:v>Tarp Index</c:v>
                </c:pt>
              </c:strCache>
            </c:strRef>
          </c:tx>
          <c:spPr>
            <a:ln>
              <a:solidFill>
                <a:srgbClr val="7030A0"/>
              </a:solidFill>
              <a:prstDash val="sysDash"/>
            </a:ln>
          </c:spPr>
          <c:marker>
            <c:symbol val="none"/>
          </c:marker>
          <c:cat>
            <c:numRef>
              <c:f>indexes!$A$3:$A$328</c:f>
              <c:numCache>
                <c:formatCode>mm/dd/yy</c:formatCode>
                <c:ptCount val="326"/>
                <c:pt idx="0">
                  <c:v>39343</c:v>
                </c:pt>
                <c:pt idx="1">
                  <c:v>39344</c:v>
                </c:pt>
                <c:pt idx="2">
                  <c:v>39345</c:v>
                </c:pt>
                <c:pt idx="3">
                  <c:v>39346</c:v>
                </c:pt>
                <c:pt idx="4">
                  <c:v>39349</c:v>
                </c:pt>
                <c:pt idx="5">
                  <c:v>39350</c:v>
                </c:pt>
                <c:pt idx="6">
                  <c:v>39351</c:v>
                </c:pt>
                <c:pt idx="7">
                  <c:v>39352</c:v>
                </c:pt>
                <c:pt idx="8">
                  <c:v>39353</c:v>
                </c:pt>
                <c:pt idx="9">
                  <c:v>39356</c:v>
                </c:pt>
                <c:pt idx="10">
                  <c:v>39357</c:v>
                </c:pt>
                <c:pt idx="11">
                  <c:v>39358</c:v>
                </c:pt>
                <c:pt idx="12">
                  <c:v>39359</c:v>
                </c:pt>
                <c:pt idx="13">
                  <c:v>39360</c:v>
                </c:pt>
                <c:pt idx="14">
                  <c:v>39363</c:v>
                </c:pt>
                <c:pt idx="15">
                  <c:v>39364</c:v>
                </c:pt>
                <c:pt idx="16">
                  <c:v>39365</c:v>
                </c:pt>
                <c:pt idx="17">
                  <c:v>39366</c:v>
                </c:pt>
                <c:pt idx="18">
                  <c:v>39367</c:v>
                </c:pt>
                <c:pt idx="19">
                  <c:v>39370</c:v>
                </c:pt>
                <c:pt idx="20">
                  <c:v>39371</c:v>
                </c:pt>
                <c:pt idx="21">
                  <c:v>39372</c:v>
                </c:pt>
                <c:pt idx="22">
                  <c:v>39373</c:v>
                </c:pt>
                <c:pt idx="23">
                  <c:v>39374</c:v>
                </c:pt>
                <c:pt idx="24">
                  <c:v>39377</c:v>
                </c:pt>
                <c:pt idx="25">
                  <c:v>39378</c:v>
                </c:pt>
                <c:pt idx="26">
                  <c:v>39379</c:v>
                </c:pt>
                <c:pt idx="27">
                  <c:v>39380</c:v>
                </c:pt>
                <c:pt idx="28">
                  <c:v>39381</c:v>
                </c:pt>
                <c:pt idx="29">
                  <c:v>39384</c:v>
                </c:pt>
                <c:pt idx="30">
                  <c:v>39385</c:v>
                </c:pt>
                <c:pt idx="31">
                  <c:v>39386</c:v>
                </c:pt>
                <c:pt idx="32">
                  <c:v>39387</c:v>
                </c:pt>
                <c:pt idx="33">
                  <c:v>39388</c:v>
                </c:pt>
                <c:pt idx="34">
                  <c:v>39391</c:v>
                </c:pt>
                <c:pt idx="35">
                  <c:v>39392</c:v>
                </c:pt>
                <c:pt idx="36">
                  <c:v>39393</c:v>
                </c:pt>
                <c:pt idx="37">
                  <c:v>39394</c:v>
                </c:pt>
                <c:pt idx="38">
                  <c:v>39395</c:v>
                </c:pt>
                <c:pt idx="39">
                  <c:v>39398</c:v>
                </c:pt>
                <c:pt idx="40">
                  <c:v>39399</c:v>
                </c:pt>
                <c:pt idx="41">
                  <c:v>39400</c:v>
                </c:pt>
                <c:pt idx="42">
                  <c:v>39401</c:v>
                </c:pt>
                <c:pt idx="43">
                  <c:v>39402</c:v>
                </c:pt>
                <c:pt idx="44">
                  <c:v>39405</c:v>
                </c:pt>
                <c:pt idx="45">
                  <c:v>39406</c:v>
                </c:pt>
                <c:pt idx="46">
                  <c:v>39407</c:v>
                </c:pt>
                <c:pt idx="47">
                  <c:v>39409</c:v>
                </c:pt>
                <c:pt idx="48">
                  <c:v>39412</c:v>
                </c:pt>
                <c:pt idx="49">
                  <c:v>39413</c:v>
                </c:pt>
                <c:pt idx="50">
                  <c:v>39414</c:v>
                </c:pt>
                <c:pt idx="51">
                  <c:v>39415</c:v>
                </c:pt>
                <c:pt idx="52">
                  <c:v>39416</c:v>
                </c:pt>
                <c:pt idx="53">
                  <c:v>39419</c:v>
                </c:pt>
                <c:pt idx="54">
                  <c:v>39420</c:v>
                </c:pt>
                <c:pt idx="55">
                  <c:v>39421</c:v>
                </c:pt>
                <c:pt idx="56">
                  <c:v>39422</c:v>
                </c:pt>
                <c:pt idx="57">
                  <c:v>39423</c:v>
                </c:pt>
                <c:pt idx="58">
                  <c:v>39426</c:v>
                </c:pt>
                <c:pt idx="59">
                  <c:v>39427</c:v>
                </c:pt>
                <c:pt idx="60">
                  <c:v>39428</c:v>
                </c:pt>
                <c:pt idx="61">
                  <c:v>39429</c:v>
                </c:pt>
                <c:pt idx="62">
                  <c:v>39430</c:v>
                </c:pt>
                <c:pt idx="63">
                  <c:v>39433</c:v>
                </c:pt>
                <c:pt idx="64">
                  <c:v>39434</c:v>
                </c:pt>
                <c:pt idx="65">
                  <c:v>39435</c:v>
                </c:pt>
                <c:pt idx="66">
                  <c:v>39436</c:v>
                </c:pt>
                <c:pt idx="67">
                  <c:v>39437</c:v>
                </c:pt>
                <c:pt idx="68">
                  <c:v>39440</c:v>
                </c:pt>
                <c:pt idx="69">
                  <c:v>39442</c:v>
                </c:pt>
                <c:pt idx="70">
                  <c:v>39443</c:v>
                </c:pt>
                <c:pt idx="71">
                  <c:v>39444</c:v>
                </c:pt>
                <c:pt idx="72">
                  <c:v>39447</c:v>
                </c:pt>
                <c:pt idx="73">
                  <c:v>39449</c:v>
                </c:pt>
                <c:pt idx="74">
                  <c:v>39450</c:v>
                </c:pt>
                <c:pt idx="75">
                  <c:v>39451</c:v>
                </c:pt>
                <c:pt idx="76">
                  <c:v>39454</c:v>
                </c:pt>
                <c:pt idx="77">
                  <c:v>39455</c:v>
                </c:pt>
                <c:pt idx="78">
                  <c:v>39456</c:v>
                </c:pt>
                <c:pt idx="79">
                  <c:v>39457</c:v>
                </c:pt>
                <c:pt idx="80">
                  <c:v>39458</c:v>
                </c:pt>
                <c:pt idx="81">
                  <c:v>39461</c:v>
                </c:pt>
                <c:pt idx="82">
                  <c:v>39462</c:v>
                </c:pt>
                <c:pt idx="83">
                  <c:v>39463</c:v>
                </c:pt>
                <c:pt idx="84">
                  <c:v>39464</c:v>
                </c:pt>
                <c:pt idx="85">
                  <c:v>39465</c:v>
                </c:pt>
                <c:pt idx="86">
                  <c:v>39469</c:v>
                </c:pt>
                <c:pt idx="87">
                  <c:v>39470</c:v>
                </c:pt>
                <c:pt idx="88">
                  <c:v>39471</c:v>
                </c:pt>
                <c:pt idx="89">
                  <c:v>39472</c:v>
                </c:pt>
                <c:pt idx="90">
                  <c:v>39475</c:v>
                </c:pt>
                <c:pt idx="91">
                  <c:v>39476</c:v>
                </c:pt>
                <c:pt idx="92">
                  <c:v>39477</c:v>
                </c:pt>
                <c:pt idx="93">
                  <c:v>39478</c:v>
                </c:pt>
                <c:pt idx="94">
                  <c:v>39479</c:v>
                </c:pt>
                <c:pt idx="95">
                  <c:v>39482</c:v>
                </c:pt>
                <c:pt idx="96">
                  <c:v>39483</c:v>
                </c:pt>
                <c:pt idx="97">
                  <c:v>39484</c:v>
                </c:pt>
                <c:pt idx="98">
                  <c:v>39485</c:v>
                </c:pt>
                <c:pt idx="99">
                  <c:v>39486</c:v>
                </c:pt>
                <c:pt idx="100">
                  <c:v>39489</c:v>
                </c:pt>
                <c:pt idx="101">
                  <c:v>39490</c:v>
                </c:pt>
                <c:pt idx="102">
                  <c:v>39491</c:v>
                </c:pt>
                <c:pt idx="103">
                  <c:v>39492</c:v>
                </c:pt>
                <c:pt idx="104">
                  <c:v>39493</c:v>
                </c:pt>
                <c:pt idx="105">
                  <c:v>39497</c:v>
                </c:pt>
                <c:pt idx="106">
                  <c:v>39498</c:v>
                </c:pt>
                <c:pt idx="107">
                  <c:v>39499</c:v>
                </c:pt>
                <c:pt idx="108">
                  <c:v>39500</c:v>
                </c:pt>
                <c:pt idx="109">
                  <c:v>39503</c:v>
                </c:pt>
                <c:pt idx="110">
                  <c:v>39504</c:v>
                </c:pt>
                <c:pt idx="111">
                  <c:v>39505</c:v>
                </c:pt>
                <c:pt idx="112">
                  <c:v>39506</c:v>
                </c:pt>
                <c:pt idx="113">
                  <c:v>39507</c:v>
                </c:pt>
                <c:pt idx="114">
                  <c:v>39510</c:v>
                </c:pt>
                <c:pt idx="115">
                  <c:v>39511</c:v>
                </c:pt>
                <c:pt idx="116">
                  <c:v>39512</c:v>
                </c:pt>
                <c:pt idx="117">
                  <c:v>39513</c:v>
                </c:pt>
                <c:pt idx="118">
                  <c:v>39514</c:v>
                </c:pt>
                <c:pt idx="119">
                  <c:v>39517</c:v>
                </c:pt>
                <c:pt idx="120">
                  <c:v>39518</c:v>
                </c:pt>
                <c:pt idx="121">
                  <c:v>39519</c:v>
                </c:pt>
                <c:pt idx="122">
                  <c:v>39520</c:v>
                </c:pt>
                <c:pt idx="123">
                  <c:v>39521</c:v>
                </c:pt>
                <c:pt idx="124">
                  <c:v>39524</c:v>
                </c:pt>
                <c:pt idx="125">
                  <c:v>39525</c:v>
                </c:pt>
                <c:pt idx="126">
                  <c:v>39526</c:v>
                </c:pt>
                <c:pt idx="127">
                  <c:v>39527</c:v>
                </c:pt>
                <c:pt idx="128">
                  <c:v>39531</c:v>
                </c:pt>
                <c:pt idx="129">
                  <c:v>39532</c:v>
                </c:pt>
                <c:pt idx="130">
                  <c:v>39533</c:v>
                </c:pt>
                <c:pt idx="131">
                  <c:v>39534</c:v>
                </c:pt>
                <c:pt idx="132">
                  <c:v>39535</c:v>
                </c:pt>
                <c:pt idx="133">
                  <c:v>39538</c:v>
                </c:pt>
                <c:pt idx="134">
                  <c:v>39539</c:v>
                </c:pt>
                <c:pt idx="135">
                  <c:v>39540</c:v>
                </c:pt>
                <c:pt idx="136">
                  <c:v>39541</c:v>
                </c:pt>
                <c:pt idx="137">
                  <c:v>39542</c:v>
                </c:pt>
                <c:pt idx="138">
                  <c:v>39545</c:v>
                </c:pt>
                <c:pt idx="139">
                  <c:v>39546</c:v>
                </c:pt>
                <c:pt idx="140">
                  <c:v>39547</c:v>
                </c:pt>
                <c:pt idx="141">
                  <c:v>39548</c:v>
                </c:pt>
                <c:pt idx="142">
                  <c:v>39549</c:v>
                </c:pt>
                <c:pt idx="143">
                  <c:v>39552</c:v>
                </c:pt>
                <c:pt idx="144">
                  <c:v>39553</c:v>
                </c:pt>
                <c:pt idx="145">
                  <c:v>39554</c:v>
                </c:pt>
                <c:pt idx="146">
                  <c:v>39555</c:v>
                </c:pt>
                <c:pt idx="147">
                  <c:v>39556</c:v>
                </c:pt>
                <c:pt idx="148">
                  <c:v>39559</c:v>
                </c:pt>
                <c:pt idx="149">
                  <c:v>39560</c:v>
                </c:pt>
                <c:pt idx="150">
                  <c:v>39561</c:v>
                </c:pt>
                <c:pt idx="151">
                  <c:v>39562</c:v>
                </c:pt>
                <c:pt idx="152">
                  <c:v>39563</c:v>
                </c:pt>
                <c:pt idx="153">
                  <c:v>39566</c:v>
                </c:pt>
                <c:pt idx="154">
                  <c:v>39567</c:v>
                </c:pt>
                <c:pt idx="155">
                  <c:v>39568</c:v>
                </c:pt>
                <c:pt idx="156">
                  <c:v>39569</c:v>
                </c:pt>
                <c:pt idx="157">
                  <c:v>39570</c:v>
                </c:pt>
                <c:pt idx="158">
                  <c:v>39573</c:v>
                </c:pt>
                <c:pt idx="159">
                  <c:v>39574</c:v>
                </c:pt>
                <c:pt idx="160">
                  <c:v>39575</c:v>
                </c:pt>
                <c:pt idx="161">
                  <c:v>39576</c:v>
                </c:pt>
                <c:pt idx="162">
                  <c:v>39577</c:v>
                </c:pt>
                <c:pt idx="163">
                  <c:v>39580</c:v>
                </c:pt>
                <c:pt idx="164">
                  <c:v>39581</c:v>
                </c:pt>
                <c:pt idx="165">
                  <c:v>39582</c:v>
                </c:pt>
                <c:pt idx="166">
                  <c:v>39583</c:v>
                </c:pt>
                <c:pt idx="167">
                  <c:v>39584</c:v>
                </c:pt>
                <c:pt idx="168">
                  <c:v>39587</c:v>
                </c:pt>
                <c:pt idx="169">
                  <c:v>39588</c:v>
                </c:pt>
                <c:pt idx="170">
                  <c:v>39589</c:v>
                </c:pt>
                <c:pt idx="171">
                  <c:v>39590</c:v>
                </c:pt>
                <c:pt idx="172">
                  <c:v>39591</c:v>
                </c:pt>
                <c:pt idx="173">
                  <c:v>39595</c:v>
                </c:pt>
                <c:pt idx="174">
                  <c:v>39596</c:v>
                </c:pt>
                <c:pt idx="175">
                  <c:v>39597</c:v>
                </c:pt>
                <c:pt idx="176">
                  <c:v>39598</c:v>
                </c:pt>
                <c:pt idx="177">
                  <c:v>39601</c:v>
                </c:pt>
                <c:pt idx="178">
                  <c:v>39602</c:v>
                </c:pt>
                <c:pt idx="179">
                  <c:v>39603</c:v>
                </c:pt>
                <c:pt idx="180">
                  <c:v>39604</c:v>
                </c:pt>
                <c:pt idx="181">
                  <c:v>39605</c:v>
                </c:pt>
                <c:pt idx="182">
                  <c:v>39608</c:v>
                </c:pt>
                <c:pt idx="183">
                  <c:v>39609</c:v>
                </c:pt>
                <c:pt idx="184">
                  <c:v>39610</c:v>
                </c:pt>
                <c:pt idx="185">
                  <c:v>39611</c:v>
                </c:pt>
                <c:pt idx="186">
                  <c:v>39612</c:v>
                </c:pt>
                <c:pt idx="187">
                  <c:v>39615</c:v>
                </c:pt>
                <c:pt idx="188">
                  <c:v>39616</c:v>
                </c:pt>
                <c:pt idx="189">
                  <c:v>39617</c:v>
                </c:pt>
                <c:pt idx="190">
                  <c:v>39618</c:v>
                </c:pt>
                <c:pt idx="191">
                  <c:v>39619</c:v>
                </c:pt>
                <c:pt idx="192">
                  <c:v>39622</c:v>
                </c:pt>
                <c:pt idx="193">
                  <c:v>39623</c:v>
                </c:pt>
                <c:pt idx="194">
                  <c:v>39624</c:v>
                </c:pt>
                <c:pt idx="195">
                  <c:v>39625</c:v>
                </c:pt>
                <c:pt idx="196">
                  <c:v>39626</c:v>
                </c:pt>
                <c:pt idx="197">
                  <c:v>39629</c:v>
                </c:pt>
                <c:pt idx="198">
                  <c:v>39630</c:v>
                </c:pt>
                <c:pt idx="199">
                  <c:v>39631</c:v>
                </c:pt>
                <c:pt idx="200">
                  <c:v>39632</c:v>
                </c:pt>
                <c:pt idx="201">
                  <c:v>39636</c:v>
                </c:pt>
                <c:pt idx="202">
                  <c:v>39637</c:v>
                </c:pt>
                <c:pt idx="203">
                  <c:v>39638</c:v>
                </c:pt>
                <c:pt idx="204">
                  <c:v>39639</c:v>
                </c:pt>
                <c:pt idx="205">
                  <c:v>39640</c:v>
                </c:pt>
                <c:pt idx="206">
                  <c:v>39643</c:v>
                </c:pt>
                <c:pt idx="207">
                  <c:v>39644</c:v>
                </c:pt>
                <c:pt idx="208">
                  <c:v>39645</c:v>
                </c:pt>
                <c:pt idx="209">
                  <c:v>39646</c:v>
                </c:pt>
                <c:pt idx="210">
                  <c:v>39647</c:v>
                </c:pt>
                <c:pt idx="211">
                  <c:v>39650</c:v>
                </c:pt>
                <c:pt idx="212">
                  <c:v>39651</c:v>
                </c:pt>
                <c:pt idx="213">
                  <c:v>39652</c:v>
                </c:pt>
                <c:pt idx="214">
                  <c:v>39653</c:v>
                </c:pt>
                <c:pt idx="215">
                  <c:v>39654</c:v>
                </c:pt>
                <c:pt idx="216">
                  <c:v>39657</c:v>
                </c:pt>
                <c:pt idx="217">
                  <c:v>39658</c:v>
                </c:pt>
                <c:pt idx="218">
                  <c:v>39659</c:v>
                </c:pt>
                <c:pt idx="219">
                  <c:v>39660</c:v>
                </c:pt>
                <c:pt idx="220">
                  <c:v>39661</c:v>
                </c:pt>
                <c:pt idx="221">
                  <c:v>39664</c:v>
                </c:pt>
                <c:pt idx="222">
                  <c:v>39665</c:v>
                </c:pt>
                <c:pt idx="223">
                  <c:v>39666</c:v>
                </c:pt>
                <c:pt idx="224">
                  <c:v>39667</c:v>
                </c:pt>
                <c:pt idx="225">
                  <c:v>39668</c:v>
                </c:pt>
                <c:pt idx="226">
                  <c:v>39671</c:v>
                </c:pt>
                <c:pt idx="227">
                  <c:v>39672</c:v>
                </c:pt>
                <c:pt idx="228">
                  <c:v>39673</c:v>
                </c:pt>
                <c:pt idx="229">
                  <c:v>39674</c:v>
                </c:pt>
                <c:pt idx="230">
                  <c:v>39675</c:v>
                </c:pt>
                <c:pt idx="231">
                  <c:v>39678</c:v>
                </c:pt>
                <c:pt idx="232">
                  <c:v>39679</c:v>
                </c:pt>
                <c:pt idx="233">
                  <c:v>39680</c:v>
                </c:pt>
                <c:pt idx="234">
                  <c:v>39681</c:v>
                </c:pt>
                <c:pt idx="235">
                  <c:v>39682</c:v>
                </c:pt>
                <c:pt idx="236">
                  <c:v>39685</c:v>
                </c:pt>
                <c:pt idx="237">
                  <c:v>39686</c:v>
                </c:pt>
                <c:pt idx="238">
                  <c:v>39687</c:v>
                </c:pt>
                <c:pt idx="239">
                  <c:v>39688</c:v>
                </c:pt>
                <c:pt idx="240">
                  <c:v>39689</c:v>
                </c:pt>
                <c:pt idx="241">
                  <c:v>39693</c:v>
                </c:pt>
                <c:pt idx="242">
                  <c:v>39694</c:v>
                </c:pt>
                <c:pt idx="243">
                  <c:v>39695</c:v>
                </c:pt>
                <c:pt idx="244">
                  <c:v>39696</c:v>
                </c:pt>
                <c:pt idx="245">
                  <c:v>39699</c:v>
                </c:pt>
                <c:pt idx="246">
                  <c:v>39700</c:v>
                </c:pt>
                <c:pt idx="247">
                  <c:v>39701</c:v>
                </c:pt>
                <c:pt idx="248">
                  <c:v>39702</c:v>
                </c:pt>
                <c:pt idx="249">
                  <c:v>39703</c:v>
                </c:pt>
                <c:pt idx="250">
                  <c:v>39706</c:v>
                </c:pt>
                <c:pt idx="251">
                  <c:v>39707</c:v>
                </c:pt>
                <c:pt idx="252">
                  <c:v>39708</c:v>
                </c:pt>
                <c:pt idx="253">
                  <c:v>39709</c:v>
                </c:pt>
                <c:pt idx="254">
                  <c:v>39710</c:v>
                </c:pt>
                <c:pt idx="255">
                  <c:v>39713</c:v>
                </c:pt>
                <c:pt idx="256">
                  <c:v>39714</c:v>
                </c:pt>
                <c:pt idx="257">
                  <c:v>39715</c:v>
                </c:pt>
                <c:pt idx="258">
                  <c:v>39716</c:v>
                </c:pt>
                <c:pt idx="259">
                  <c:v>39717</c:v>
                </c:pt>
                <c:pt idx="260">
                  <c:v>39720</c:v>
                </c:pt>
                <c:pt idx="261">
                  <c:v>39721</c:v>
                </c:pt>
                <c:pt idx="262">
                  <c:v>39722</c:v>
                </c:pt>
                <c:pt idx="263">
                  <c:v>39723</c:v>
                </c:pt>
                <c:pt idx="264">
                  <c:v>39724</c:v>
                </c:pt>
                <c:pt idx="265">
                  <c:v>39727</c:v>
                </c:pt>
                <c:pt idx="266">
                  <c:v>39728</c:v>
                </c:pt>
                <c:pt idx="267">
                  <c:v>39729</c:v>
                </c:pt>
                <c:pt idx="268">
                  <c:v>39730</c:v>
                </c:pt>
                <c:pt idx="269">
                  <c:v>39731</c:v>
                </c:pt>
                <c:pt idx="270">
                  <c:v>39734</c:v>
                </c:pt>
                <c:pt idx="271">
                  <c:v>39735</c:v>
                </c:pt>
                <c:pt idx="272">
                  <c:v>39736</c:v>
                </c:pt>
                <c:pt idx="273">
                  <c:v>39737</c:v>
                </c:pt>
                <c:pt idx="274">
                  <c:v>39738</c:v>
                </c:pt>
                <c:pt idx="275">
                  <c:v>39741</c:v>
                </c:pt>
                <c:pt idx="276">
                  <c:v>39742</c:v>
                </c:pt>
                <c:pt idx="277">
                  <c:v>39743</c:v>
                </c:pt>
                <c:pt idx="278">
                  <c:v>39744</c:v>
                </c:pt>
                <c:pt idx="279">
                  <c:v>39745</c:v>
                </c:pt>
                <c:pt idx="280">
                  <c:v>39748</c:v>
                </c:pt>
                <c:pt idx="281">
                  <c:v>39749</c:v>
                </c:pt>
                <c:pt idx="282">
                  <c:v>39750</c:v>
                </c:pt>
                <c:pt idx="283">
                  <c:v>39751</c:v>
                </c:pt>
                <c:pt idx="284">
                  <c:v>39752</c:v>
                </c:pt>
                <c:pt idx="285">
                  <c:v>39755</c:v>
                </c:pt>
                <c:pt idx="286">
                  <c:v>39756</c:v>
                </c:pt>
                <c:pt idx="287">
                  <c:v>39757</c:v>
                </c:pt>
                <c:pt idx="288">
                  <c:v>39758</c:v>
                </c:pt>
                <c:pt idx="289">
                  <c:v>39759</c:v>
                </c:pt>
                <c:pt idx="290">
                  <c:v>39762</c:v>
                </c:pt>
                <c:pt idx="291">
                  <c:v>39763</c:v>
                </c:pt>
                <c:pt idx="292">
                  <c:v>39764</c:v>
                </c:pt>
                <c:pt idx="293">
                  <c:v>39765</c:v>
                </c:pt>
                <c:pt idx="294">
                  <c:v>39766</c:v>
                </c:pt>
                <c:pt idx="295">
                  <c:v>39769</c:v>
                </c:pt>
                <c:pt idx="296">
                  <c:v>39770</c:v>
                </c:pt>
                <c:pt idx="297">
                  <c:v>39771</c:v>
                </c:pt>
                <c:pt idx="298">
                  <c:v>39772</c:v>
                </c:pt>
                <c:pt idx="299">
                  <c:v>39773</c:v>
                </c:pt>
                <c:pt idx="300">
                  <c:v>39776</c:v>
                </c:pt>
                <c:pt idx="301">
                  <c:v>39777</c:v>
                </c:pt>
                <c:pt idx="302">
                  <c:v>39778</c:v>
                </c:pt>
                <c:pt idx="303">
                  <c:v>39780</c:v>
                </c:pt>
                <c:pt idx="304">
                  <c:v>39783</c:v>
                </c:pt>
                <c:pt idx="305">
                  <c:v>39784</c:v>
                </c:pt>
                <c:pt idx="306">
                  <c:v>39785</c:v>
                </c:pt>
                <c:pt idx="307">
                  <c:v>39786</c:v>
                </c:pt>
                <c:pt idx="308">
                  <c:v>39787</c:v>
                </c:pt>
                <c:pt idx="309">
                  <c:v>39790</c:v>
                </c:pt>
                <c:pt idx="310">
                  <c:v>39791</c:v>
                </c:pt>
                <c:pt idx="311">
                  <c:v>39792</c:v>
                </c:pt>
                <c:pt idx="312">
                  <c:v>39793</c:v>
                </c:pt>
                <c:pt idx="313">
                  <c:v>39794</c:v>
                </c:pt>
                <c:pt idx="314">
                  <c:v>39797</c:v>
                </c:pt>
                <c:pt idx="315">
                  <c:v>39798</c:v>
                </c:pt>
                <c:pt idx="316">
                  <c:v>39799</c:v>
                </c:pt>
                <c:pt idx="317">
                  <c:v>39800</c:v>
                </c:pt>
                <c:pt idx="318">
                  <c:v>39801</c:v>
                </c:pt>
                <c:pt idx="319">
                  <c:v>39804</c:v>
                </c:pt>
                <c:pt idx="320">
                  <c:v>39805</c:v>
                </c:pt>
                <c:pt idx="321">
                  <c:v>39806</c:v>
                </c:pt>
                <c:pt idx="322">
                  <c:v>39808</c:v>
                </c:pt>
                <c:pt idx="323">
                  <c:v>39811</c:v>
                </c:pt>
                <c:pt idx="324">
                  <c:v>39812</c:v>
                </c:pt>
                <c:pt idx="325">
                  <c:v>39813</c:v>
                </c:pt>
              </c:numCache>
            </c:numRef>
          </c:cat>
          <c:val>
            <c:numRef>
              <c:f>indexes!$I$2:$I$328</c:f>
              <c:numCache>
                <c:formatCode>General</c:formatCode>
                <c:ptCount val="327"/>
                <c:pt idx="0">
                  <c:v>100</c:v>
                </c:pt>
                <c:pt idx="1">
                  <c:v>103.88833107930279</c:v>
                </c:pt>
                <c:pt idx="2">
                  <c:v>105.24894608551676</c:v>
                </c:pt>
                <c:pt idx="3">
                  <c:v>103.61216847722157</c:v>
                </c:pt>
                <c:pt idx="4">
                  <c:v>103.08609341952328</c:v>
                </c:pt>
                <c:pt idx="5">
                  <c:v>101.47619556888661</c:v>
                </c:pt>
                <c:pt idx="6">
                  <c:v>100.69803555077758</c:v>
                </c:pt>
                <c:pt idx="7">
                  <c:v>100.99177228922397</c:v>
                </c:pt>
                <c:pt idx="8">
                  <c:v>101.1873625737807</c:v>
                </c:pt>
                <c:pt idx="9">
                  <c:v>100.12047256603128</c:v>
                </c:pt>
                <c:pt idx="10">
                  <c:v>101.79938127685342</c:v>
                </c:pt>
                <c:pt idx="11">
                  <c:v>102.30873368422124</c:v>
                </c:pt>
                <c:pt idx="12">
                  <c:v>101.63946441156331</c:v>
                </c:pt>
                <c:pt idx="13">
                  <c:v>101.79953558942584</c:v>
                </c:pt>
                <c:pt idx="14">
                  <c:v>102.95511249025802</c:v>
                </c:pt>
                <c:pt idx="15">
                  <c:v>102.30145456750901</c:v>
                </c:pt>
                <c:pt idx="16">
                  <c:v>102.46795788713176</c:v>
                </c:pt>
                <c:pt idx="17">
                  <c:v>101.8945454365624</c:v>
                </c:pt>
                <c:pt idx="18">
                  <c:v>101.37192627928935</c:v>
                </c:pt>
                <c:pt idx="19">
                  <c:v>101.09855098383916</c:v>
                </c:pt>
                <c:pt idx="20">
                  <c:v>99.626804211476014</c:v>
                </c:pt>
                <c:pt idx="21">
                  <c:v>97.768508845847123</c:v>
                </c:pt>
                <c:pt idx="22">
                  <c:v>96.696747810615577</c:v>
                </c:pt>
                <c:pt idx="23">
                  <c:v>95.508588681460779</c:v>
                </c:pt>
                <c:pt idx="24">
                  <c:v>93.133080048160082</c:v>
                </c:pt>
                <c:pt idx="25">
                  <c:v>94.277735210602259</c:v>
                </c:pt>
                <c:pt idx="26">
                  <c:v>93.925092871227648</c:v>
                </c:pt>
                <c:pt idx="27">
                  <c:v>92.748521324006504</c:v>
                </c:pt>
                <c:pt idx="28">
                  <c:v>92.315846190761476</c:v>
                </c:pt>
                <c:pt idx="29">
                  <c:v>93.834463122611652</c:v>
                </c:pt>
                <c:pt idx="30">
                  <c:v>93.773988166872158</c:v>
                </c:pt>
                <c:pt idx="31">
                  <c:v>93.312720055259518</c:v>
                </c:pt>
                <c:pt idx="32">
                  <c:v>94.01581134324222</c:v>
                </c:pt>
                <c:pt idx="33">
                  <c:v>89.358865128614255</c:v>
                </c:pt>
                <c:pt idx="34">
                  <c:v>88.217122838223673</c:v>
                </c:pt>
                <c:pt idx="35">
                  <c:v>86.812447804406958</c:v>
                </c:pt>
                <c:pt idx="36">
                  <c:v>87.782741390615058</c:v>
                </c:pt>
                <c:pt idx="37">
                  <c:v>83.982647104023499</c:v>
                </c:pt>
                <c:pt idx="38">
                  <c:v>85.523552791658958</c:v>
                </c:pt>
                <c:pt idx="39">
                  <c:v>86.668352980026015</c:v>
                </c:pt>
                <c:pt idx="40">
                  <c:v>87.353468116199153</c:v>
                </c:pt>
                <c:pt idx="41">
                  <c:v>90.183758324637694</c:v>
                </c:pt>
                <c:pt idx="42">
                  <c:v>89.218289723260867</c:v>
                </c:pt>
                <c:pt idx="43">
                  <c:v>87.091339014753785</c:v>
                </c:pt>
                <c:pt idx="44">
                  <c:v>86.271480324656125</c:v>
                </c:pt>
                <c:pt idx="45">
                  <c:v>84.26958024756658</c:v>
                </c:pt>
                <c:pt idx="46">
                  <c:v>83.631429594060094</c:v>
                </c:pt>
                <c:pt idx="47">
                  <c:v>82.948470607025911</c:v>
                </c:pt>
                <c:pt idx="48">
                  <c:v>85.36755373566649</c:v>
                </c:pt>
                <c:pt idx="49">
                  <c:v>81.214093748097937</c:v>
                </c:pt>
                <c:pt idx="50">
                  <c:v>82.424499495035619</c:v>
                </c:pt>
                <c:pt idx="51">
                  <c:v>85.761911550446086</c:v>
                </c:pt>
                <c:pt idx="52">
                  <c:v>84.386261347922414</c:v>
                </c:pt>
                <c:pt idx="53">
                  <c:v>85.742436725885511</c:v>
                </c:pt>
                <c:pt idx="54">
                  <c:v>85.153192583286042</c:v>
                </c:pt>
                <c:pt idx="55">
                  <c:v>83.606657744899152</c:v>
                </c:pt>
                <c:pt idx="56">
                  <c:v>84.912486611161199</c:v>
                </c:pt>
                <c:pt idx="57">
                  <c:v>87.365771673653086</c:v>
                </c:pt>
                <c:pt idx="58">
                  <c:v>87.112063823433289</c:v>
                </c:pt>
                <c:pt idx="59">
                  <c:v>88.192196091902986</c:v>
                </c:pt>
                <c:pt idx="60">
                  <c:v>84.510678714243269</c:v>
                </c:pt>
                <c:pt idx="61">
                  <c:v>83.618858854532206</c:v>
                </c:pt>
                <c:pt idx="62">
                  <c:v>83.091884716280688</c:v>
                </c:pt>
                <c:pt idx="63">
                  <c:v>81.406719639844127</c:v>
                </c:pt>
                <c:pt idx="64">
                  <c:v>80.344439841407933</c:v>
                </c:pt>
                <c:pt idx="65">
                  <c:v>81.600100185505752</c:v>
                </c:pt>
                <c:pt idx="66">
                  <c:v>80.899257289533793</c:v>
                </c:pt>
                <c:pt idx="67">
                  <c:v>80.965317865642831</c:v>
                </c:pt>
                <c:pt idx="68">
                  <c:v>83.413462443988124</c:v>
                </c:pt>
                <c:pt idx="69">
                  <c:v>84.298308378575868</c:v>
                </c:pt>
                <c:pt idx="70">
                  <c:v>84.385199066741649</c:v>
                </c:pt>
                <c:pt idx="71">
                  <c:v>81.636081960401114</c:v>
                </c:pt>
                <c:pt idx="72">
                  <c:v>80.597941319306045</c:v>
                </c:pt>
                <c:pt idx="73">
                  <c:v>80.951756321812425</c:v>
                </c:pt>
                <c:pt idx="74">
                  <c:v>79.366226110383579</c:v>
                </c:pt>
                <c:pt idx="75">
                  <c:v>77.915436585845427</c:v>
                </c:pt>
                <c:pt idx="76">
                  <c:v>75.718348387595142</c:v>
                </c:pt>
                <c:pt idx="77">
                  <c:v>76.408769741444345</c:v>
                </c:pt>
                <c:pt idx="78">
                  <c:v>73.437228141941262</c:v>
                </c:pt>
                <c:pt idx="79">
                  <c:v>73.49913409062323</c:v>
                </c:pt>
                <c:pt idx="80">
                  <c:v>74.803872218997796</c:v>
                </c:pt>
                <c:pt idx="81">
                  <c:v>74.082497273094404</c:v>
                </c:pt>
                <c:pt idx="82">
                  <c:v>74.168907615309109</c:v>
                </c:pt>
                <c:pt idx="83">
                  <c:v>72.357243903238967</c:v>
                </c:pt>
                <c:pt idx="84">
                  <c:v>74.022049172483591</c:v>
                </c:pt>
                <c:pt idx="85">
                  <c:v>71.47149296275235</c:v>
                </c:pt>
                <c:pt idx="86">
                  <c:v>70.169883313208928</c:v>
                </c:pt>
                <c:pt idx="87">
                  <c:v>70.97153273021253</c:v>
                </c:pt>
                <c:pt idx="88">
                  <c:v>76.013279227160695</c:v>
                </c:pt>
                <c:pt idx="89">
                  <c:v>76.857016032383058</c:v>
                </c:pt>
                <c:pt idx="90">
                  <c:v>76.078194965319227</c:v>
                </c:pt>
                <c:pt idx="91">
                  <c:v>78.314898706834256</c:v>
                </c:pt>
                <c:pt idx="92">
                  <c:v>79.402087356123275</c:v>
                </c:pt>
                <c:pt idx="93">
                  <c:v>79.885589577111219</c:v>
                </c:pt>
                <c:pt idx="94">
                  <c:v>82.879448264991368</c:v>
                </c:pt>
                <c:pt idx="95">
                  <c:v>84.480208719276121</c:v>
                </c:pt>
                <c:pt idx="96">
                  <c:v>82.270686038985389</c:v>
                </c:pt>
                <c:pt idx="97">
                  <c:v>79.919809784468626</c:v>
                </c:pt>
                <c:pt idx="98">
                  <c:v>79.743129891245971</c:v>
                </c:pt>
                <c:pt idx="99">
                  <c:v>80.705054136228924</c:v>
                </c:pt>
                <c:pt idx="100">
                  <c:v>79.115994361309262</c:v>
                </c:pt>
                <c:pt idx="101">
                  <c:v>78.182054987126151</c:v>
                </c:pt>
                <c:pt idx="102">
                  <c:v>79.030386114666825</c:v>
                </c:pt>
                <c:pt idx="103">
                  <c:v>79.791032944676587</c:v>
                </c:pt>
                <c:pt idx="104">
                  <c:v>77.756904878672415</c:v>
                </c:pt>
                <c:pt idx="105">
                  <c:v>77.377711385974948</c:v>
                </c:pt>
                <c:pt idx="106">
                  <c:v>76.653784032027374</c:v>
                </c:pt>
                <c:pt idx="107">
                  <c:v>77.94962114865109</c:v>
                </c:pt>
                <c:pt idx="108">
                  <c:v>76.082677517151126</c:v>
                </c:pt>
                <c:pt idx="109">
                  <c:v>76.270387268457441</c:v>
                </c:pt>
                <c:pt idx="110">
                  <c:v>77.00755626708677</c:v>
                </c:pt>
                <c:pt idx="111">
                  <c:v>77.247871406158978</c:v>
                </c:pt>
                <c:pt idx="112">
                  <c:v>77.010523988877353</c:v>
                </c:pt>
                <c:pt idx="113">
                  <c:v>75.220276335067751</c:v>
                </c:pt>
                <c:pt idx="114">
                  <c:v>72.733217165463557</c:v>
                </c:pt>
                <c:pt idx="115">
                  <c:v>71.446781692814611</c:v>
                </c:pt>
                <c:pt idx="116">
                  <c:v>70.840321489653462</c:v>
                </c:pt>
                <c:pt idx="117">
                  <c:v>70.169417598412139</c:v>
                </c:pt>
                <c:pt idx="118">
                  <c:v>67.633146813175713</c:v>
                </c:pt>
                <c:pt idx="119">
                  <c:v>68.454904613281784</c:v>
                </c:pt>
                <c:pt idx="120">
                  <c:v>67.478833607967005</c:v>
                </c:pt>
                <c:pt idx="121">
                  <c:v>71.686367335851244</c:v>
                </c:pt>
                <c:pt idx="122">
                  <c:v>70.642894485190027</c:v>
                </c:pt>
                <c:pt idx="123">
                  <c:v>71.649209693841527</c:v>
                </c:pt>
                <c:pt idx="124">
                  <c:v>69.507731135152</c:v>
                </c:pt>
                <c:pt idx="125">
                  <c:v>67.543144507465783</c:v>
                </c:pt>
                <c:pt idx="126">
                  <c:v>70.708007785343526</c:v>
                </c:pt>
                <c:pt idx="127">
                  <c:v>69.269388209250749</c:v>
                </c:pt>
                <c:pt idx="128">
                  <c:v>70.857532038116418</c:v>
                </c:pt>
                <c:pt idx="129">
                  <c:v>72.803963013386209</c:v>
                </c:pt>
                <c:pt idx="130">
                  <c:v>73.114798332338239</c:v>
                </c:pt>
                <c:pt idx="131">
                  <c:v>71.889176733516265</c:v>
                </c:pt>
                <c:pt idx="132">
                  <c:v>70.551646777489424</c:v>
                </c:pt>
                <c:pt idx="133">
                  <c:v>69.50805188237598</c:v>
                </c:pt>
                <c:pt idx="134">
                  <c:v>70.147364190355461</c:v>
                </c:pt>
                <c:pt idx="135">
                  <c:v>72.797050922272689</c:v>
                </c:pt>
                <c:pt idx="136">
                  <c:v>73.116525335634009</c:v>
                </c:pt>
                <c:pt idx="137">
                  <c:v>72.843824958899603</c:v>
                </c:pt>
                <c:pt idx="138">
                  <c:v>71.247461025674326</c:v>
                </c:pt>
                <c:pt idx="139">
                  <c:v>71.406887985253292</c:v>
                </c:pt>
                <c:pt idx="140">
                  <c:v>70.32152102140806</c:v>
                </c:pt>
                <c:pt idx="141">
                  <c:v>68.334147836932488</c:v>
                </c:pt>
                <c:pt idx="142">
                  <c:v>68.156185479615957</c:v>
                </c:pt>
                <c:pt idx="143">
                  <c:v>66.869677594682756</c:v>
                </c:pt>
                <c:pt idx="144">
                  <c:v>65.005682686102162</c:v>
                </c:pt>
                <c:pt idx="145">
                  <c:v>65.726727353012208</c:v>
                </c:pt>
                <c:pt idx="146">
                  <c:v>67.105638686067849</c:v>
                </c:pt>
                <c:pt idx="147">
                  <c:v>67.97081462032962</c:v>
                </c:pt>
                <c:pt idx="148">
                  <c:v>69.067484847319676</c:v>
                </c:pt>
                <c:pt idx="149">
                  <c:v>67.191522089472613</c:v>
                </c:pt>
                <c:pt idx="150">
                  <c:v>65.9103200164013</c:v>
                </c:pt>
                <c:pt idx="151">
                  <c:v>64.433489327285656</c:v>
                </c:pt>
                <c:pt idx="152">
                  <c:v>65.886716596650544</c:v>
                </c:pt>
                <c:pt idx="153">
                  <c:v>66.102736272052425</c:v>
                </c:pt>
                <c:pt idx="154">
                  <c:v>66.352882622172459</c:v>
                </c:pt>
                <c:pt idx="155">
                  <c:v>66.111762057036188</c:v>
                </c:pt>
                <c:pt idx="156">
                  <c:v>65.29345468526239</c:v>
                </c:pt>
                <c:pt idx="157">
                  <c:v>67.153711391789926</c:v>
                </c:pt>
                <c:pt idx="158">
                  <c:v>67.016777486400471</c:v>
                </c:pt>
                <c:pt idx="159">
                  <c:v>66.250086135534957</c:v>
                </c:pt>
                <c:pt idx="160">
                  <c:v>66.826228013949518</c:v>
                </c:pt>
                <c:pt idx="161">
                  <c:v>64.466564232563357</c:v>
                </c:pt>
                <c:pt idx="162">
                  <c:v>64.132281632799106</c:v>
                </c:pt>
                <c:pt idx="163">
                  <c:v>63.536912369312347</c:v>
                </c:pt>
                <c:pt idx="164">
                  <c:v>64.426283444733158</c:v>
                </c:pt>
                <c:pt idx="165">
                  <c:v>64.11558849865807</c:v>
                </c:pt>
                <c:pt idx="166">
                  <c:v>63.763801365279761</c:v>
                </c:pt>
                <c:pt idx="167">
                  <c:v>64.157353663373897</c:v>
                </c:pt>
                <c:pt idx="168">
                  <c:v>63.166540485688344</c:v>
                </c:pt>
                <c:pt idx="169">
                  <c:v>62.758029612105361</c:v>
                </c:pt>
                <c:pt idx="170">
                  <c:v>61.945841830665742</c:v>
                </c:pt>
                <c:pt idx="171">
                  <c:v>61.217203466191386</c:v>
                </c:pt>
                <c:pt idx="172">
                  <c:v>61.725303961527516</c:v>
                </c:pt>
                <c:pt idx="173">
                  <c:v>61.085456626401516</c:v>
                </c:pt>
                <c:pt idx="174">
                  <c:v>61.439229710138051</c:v>
                </c:pt>
                <c:pt idx="175">
                  <c:v>60.476967526939184</c:v>
                </c:pt>
                <c:pt idx="176">
                  <c:v>60.662545035338219</c:v>
                </c:pt>
                <c:pt idx="177">
                  <c:v>60.221488142850461</c:v>
                </c:pt>
                <c:pt idx="178">
                  <c:v>58.879690775131451</c:v>
                </c:pt>
                <c:pt idx="179">
                  <c:v>58.686487999281944</c:v>
                </c:pt>
                <c:pt idx="180">
                  <c:v>58.398201862196821</c:v>
                </c:pt>
                <c:pt idx="181">
                  <c:v>58.54017695232158</c:v>
                </c:pt>
                <c:pt idx="182">
                  <c:v>55.919672147328384</c:v>
                </c:pt>
                <c:pt idx="183">
                  <c:v>54.824410549926405</c:v>
                </c:pt>
                <c:pt idx="184">
                  <c:v>54.66594356534987</c:v>
                </c:pt>
                <c:pt idx="185">
                  <c:v>52.860729927735498</c:v>
                </c:pt>
                <c:pt idx="186">
                  <c:v>52.743586663719384</c:v>
                </c:pt>
                <c:pt idx="187">
                  <c:v>52.590907293895022</c:v>
                </c:pt>
                <c:pt idx="188">
                  <c:v>53.101063405347226</c:v>
                </c:pt>
                <c:pt idx="189">
                  <c:v>51.469711726183213</c:v>
                </c:pt>
                <c:pt idx="190">
                  <c:v>49.59451018037705</c:v>
                </c:pt>
                <c:pt idx="191">
                  <c:v>49.366725975422284</c:v>
                </c:pt>
                <c:pt idx="192">
                  <c:v>48.896469950702063</c:v>
                </c:pt>
                <c:pt idx="193">
                  <c:v>46.939528226769262</c:v>
                </c:pt>
                <c:pt idx="194">
                  <c:v>46.922412029584216</c:v>
                </c:pt>
                <c:pt idx="195">
                  <c:v>47.524599250802737</c:v>
                </c:pt>
                <c:pt idx="196">
                  <c:v>46.428654919617024</c:v>
                </c:pt>
                <c:pt idx="197">
                  <c:v>46.090500260662196</c:v>
                </c:pt>
                <c:pt idx="198">
                  <c:v>44.306820471339705</c:v>
                </c:pt>
                <c:pt idx="199">
                  <c:v>44.961265716270056</c:v>
                </c:pt>
                <c:pt idx="200">
                  <c:v>44.260108470734487</c:v>
                </c:pt>
                <c:pt idx="201">
                  <c:v>43.491647636835644</c:v>
                </c:pt>
                <c:pt idx="202">
                  <c:v>41.873285371545045</c:v>
                </c:pt>
                <c:pt idx="203">
                  <c:v>43.982294894187064</c:v>
                </c:pt>
                <c:pt idx="204">
                  <c:v>42.177807472597294</c:v>
                </c:pt>
                <c:pt idx="205">
                  <c:v>41.776958061709763</c:v>
                </c:pt>
                <c:pt idx="206">
                  <c:v>41.898145830548216</c:v>
                </c:pt>
                <c:pt idx="207">
                  <c:v>38.746887667036191</c:v>
                </c:pt>
                <c:pt idx="208">
                  <c:v>37.908827064534705</c:v>
                </c:pt>
                <c:pt idx="209">
                  <c:v>41.883888552513113</c:v>
                </c:pt>
                <c:pt idx="210">
                  <c:v>45.593470537266214</c:v>
                </c:pt>
                <c:pt idx="211">
                  <c:v>45.865624454300828</c:v>
                </c:pt>
                <c:pt idx="212">
                  <c:v>46.369261291738347</c:v>
                </c:pt>
                <c:pt idx="213">
                  <c:v>49.381184877646284</c:v>
                </c:pt>
                <c:pt idx="214">
                  <c:v>51.759162322821538</c:v>
                </c:pt>
                <c:pt idx="215">
                  <c:v>48.417590967206124</c:v>
                </c:pt>
                <c:pt idx="216">
                  <c:v>48.917528640911812</c:v>
                </c:pt>
                <c:pt idx="217">
                  <c:v>46.639770016218819</c:v>
                </c:pt>
                <c:pt idx="218">
                  <c:v>49.2407474207725</c:v>
                </c:pt>
                <c:pt idx="219">
                  <c:v>49.016405832425512</c:v>
                </c:pt>
                <c:pt idx="220">
                  <c:v>48.56537176349169</c:v>
                </c:pt>
                <c:pt idx="221">
                  <c:v>49.517357965920304</c:v>
                </c:pt>
                <c:pt idx="222">
                  <c:v>48.842089322004718</c:v>
                </c:pt>
                <c:pt idx="223">
                  <c:v>50.65213690644201</c:v>
                </c:pt>
                <c:pt idx="224">
                  <c:v>51.16622773478376</c:v>
                </c:pt>
                <c:pt idx="225">
                  <c:v>49.620893300063287</c:v>
                </c:pt>
                <c:pt idx="226">
                  <c:v>51.104343601729958</c:v>
                </c:pt>
                <c:pt idx="227">
                  <c:v>53.331987410589079</c:v>
                </c:pt>
                <c:pt idx="228">
                  <c:v>51.791723483416149</c:v>
                </c:pt>
                <c:pt idx="229">
                  <c:v>50.730342908651508</c:v>
                </c:pt>
                <c:pt idx="230">
                  <c:v>51.450388020986594</c:v>
                </c:pt>
                <c:pt idx="231">
                  <c:v>52.036794040398853</c:v>
                </c:pt>
                <c:pt idx="232">
                  <c:v>50.633819308465966</c:v>
                </c:pt>
                <c:pt idx="233">
                  <c:v>49.417565757689921</c:v>
                </c:pt>
                <c:pt idx="234">
                  <c:v>49.221723690713901</c:v>
                </c:pt>
                <c:pt idx="235">
                  <c:v>48.634443787665994</c:v>
                </c:pt>
                <c:pt idx="236">
                  <c:v>49.522774508646705</c:v>
                </c:pt>
                <c:pt idx="237">
                  <c:v>48.148425335233291</c:v>
                </c:pt>
                <c:pt idx="238">
                  <c:v>48.558154789785092</c:v>
                </c:pt>
                <c:pt idx="239">
                  <c:v>49.393163236534186</c:v>
                </c:pt>
                <c:pt idx="240">
                  <c:v>50.680837193359444</c:v>
                </c:pt>
                <c:pt idx="241">
                  <c:v>50.813911356217794</c:v>
                </c:pt>
                <c:pt idx="242">
                  <c:v>52.036471893247352</c:v>
                </c:pt>
                <c:pt idx="243">
                  <c:v>53.476480951009194</c:v>
                </c:pt>
                <c:pt idx="244">
                  <c:v>52.119302564617229</c:v>
                </c:pt>
                <c:pt idx="245">
                  <c:v>53.064800143565186</c:v>
                </c:pt>
                <c:pt idx="246">
                  <c:v>54.628798531600019</c:v>
                </c:pt>
                <c:pt idx="247">
                  <c:v>52.742743780827212</c:v>
                </c:pt>
                <c:pt idx="248">
                  <c:v>52.299004743499019</c:v>
                </c:pt>
                <c:pt idx="249">
                  <c:v>52.575351679095654</c:v>
                </c:pt>
                <c:pt idx="250">
                  <c:v>53.742841482431146</c:v>
                </c:pt>
                <c:pt idx="251">
                  <c:v>49.855003471538218</c:v>
                </c:pt>
                <c:pt idx="252">
                  <c:v>51.977340736360226</c:v>
                </c:pt>
                <c:pt idx="253">
                  <c:v>48.62471543518496</c:v>
                </c:pt>
                <c:pt idx="254">
                  <c:v>55.388462315861787</c:v>
                </c:pt>
                <c:pt idx="255">
                  <c:v>58.867826670217895</c:v>
                </c:pt>
                <c:pt idx="256">
                  <c:v>54.502300543625616</c:v>
                </c:pt>
                <c:pt idx="257">
                  <c:v>53.430263427798224</c:v>
                </c:pt>
                <c:pt idx="258">
                  <c:v>52.675257321692946</c:v>
                </c:pt>
                <c:pt idx="259">
                  <c:v>53.341394583535347</c:v>
                </c:pt>
                <c:pt idx="260">
                  <c:v>52.950098570385826</c:v>
                </c:pt>
                <c:pt idx="261">
                  <c:v>47.386344729025005</c:v>
                </c:pt>
                <c:pt idx="262">
                  <c:v>48.892875760127978</c:v>
                </c:pt>
                <c:pt idx="263">
                  <c:v>50.97327500088948</c:v>
                </c:pt>
                <c:pt idx="264">
                  <c:v>50.534985956272244</c:v>
                </c:pt>
                <c:pt idx="265">
                  <c:v>49.679877376592295</c:v>
                </c:pt>
                <c:pt idx="266">
                  <c:v>47.257822281241452</c:v>
                </c:pt>
                <c:pt idx="267">
                  <c:v>43.873852504531392</c:v>
                </c:pt>
                <c:pt idx="268">
                  <c:v>42.808723036826933</c:v>
                </c:pt>
                <c:pt idx="269">
                  <c:v>36.828008890978779</c:v>
                </c:pt>
                <c:pt idx="270">
                  <c:v>37.949217550725976</c:v>
                </c:pt>
                <c:pt idx="271">
                  <c:v>40.433939925765479</c:v>
                </c:pt>
                <c:pt idx="272">
                  <c:v>43.129212681534014</c:v>
                </c:pt>
                <c:pt idx="273">
                  <c:v>41.069778505923907</c:v>
                </c:pt>
                <c:pt idx="274">
                  <c:v>41.672572235533693</c:v>
                </c:pt>
                <c:pt idx="275">
                  <c:v>41.863367124400831</c:v>
                </c:pt>
                <c:pt idx="276">
                  <c:v>42.286659608581083</c:v>
                </c:pt>
                <c:pt idx="277">
                  <c:v>40.553475476555192</c:v>
                </c:pt>
                <c:pt idx="278">
                  <c:v>38.723544673678077</c:v>
                </c:pt>
                <c:pt idx="279">
                  <c:v>37.004969222283847</c:v>
                </c:pt>
                <c:pt idx="280">
                  <c:v>35.52967381203711</c:v>
                </c:pt>
                <c:pt idx="281">
                  <c:v>34.798071649812506</c:v>
                </c:pt>
                <c:pt idx="282">
                  <c:v>37.323186680360806</c:v>
                </c:pt>
                <c:pt idx="283">
                  <c:v>37.847734736762057</c:v>
                </c:pt>
                <c:pt idx="284">
                  <c:v>39.140158275858553</c:v>
                </c:pt>
                <c:pt idx="285">
                  <c:v>40.49932895201313</c:v>
                </c:pt>
                <c:pt idx="286">
                  <c:v>40.884160638165341</c:v>
                </c:pt>
                <c:pt idx="287">
                  <c:v>42.397851527743462</c:v>
                </c:pt>
                <c:pt idx="288">
                  <c:v>39.90119939676002</c:v>
                </c:pt>
                <c:pt idx="289">
                  <c:v>38.230847331805492</c:v>
                </c:pt>
                <c:pt idx="290">
                  <c:v>38.604204962930595</c:v>
                </c:pt>
                <c:pt idx="291">
                  <c:v>37.50058643216542</c:v>
                </c:pt>
                <c:pt idx="292">
                  <c:v>36.604165955980598</c:v>
                </c:pt>
                <c:pt idx="293">
                  <c:v>34.036599621111193</c:v>
                </c:pt>
                <c:pt idx="294">
                  <c:v>36.361202290509212</c:v>
                </c:pt>
                <c:pt idx="295">
                  <c:v>34.514304187989993</c:v>
                </c:pt>
                <c:pt idx="296">
                  <c:v>33.446620242843096</c:v>
                </c:pt>
                <c:pt idx="297">
                  <c:v>32.862916013442884</c:v>
                </c:pt>
                <c:pt idx="298">
                  <c:v>30.035065317711631</c:v>
                </c:pt>
                <c:pt idx="299">
                  <c:v>27.610212821890148</c:v>
                </c:pt>
                <c:pt idx="300">
                  <c:v>27.949072540067736</c:v>
                </c:pt>
                <c:pt idx="301">
                  <c:v>30.349207832803089</c:v>
                </c:pt>
                <c:pt idx="302">
                  <c:v>31.056506173668687</c:v>
                </c:pt>
                <c:pt idx="303">
                  <c:v>32.522878281710732</c:v>
                </c:pt>
                <c:pt idx="304">
                  <c:v>33.341060851011967</c:v>
                </c:pt>
                <c:pt idx="305">
                  <c:v>29.089562895083656</c:v>
                </c:pt>
                <c:pt idx="306">
                  <c:v>31.244744954780426</c:v>
                </c:pt>
                <c:pt idx="307">
                  <c:v>32.038003806736789</c:v>
                </c:pt>
                <c:pt idx="308">
                  <c:v>32.016221646246223</c:v>
                </c:pt>
                <c:pt idx="309">
                  <c:v>32.957209306093063</c:v>
                </c:pt>
                <c:pt idx="310">
                  <c:v>33.630362069326424</c:v>
                </c:pt>
                <c:pt idx="311">
                  <c:v>32.360254746848504</c:v>
                </c:pt>
                <c:pt idx="312">
                  <c:v>32.415744062620995</c:v>
                </c:pt>
                <c:pt idx="313">
                  <c:v>30.513904638474315</c:v>
                </c:pt>
                <c:pt idx="314">
                  <c:v>31.25516571446823</c:v>
                </c:pt>
                <c:pt idx="315">
                  <c:v>30.147399363631099</c:v>
                </c:pt>
                <c:pt idx="316">
                  <c:v>31.895899497699208</c:v>
                </c:pt>
                <c:pt idx="317">
                  <c:v>31.714561975163612</c:v>
                </c:pt>
                <c:pt idx="318">
                  <c:v>31.482181419896733</c:v>
                </c:pt>
                <c:pt idx="319">
                  <c:v>31.600718695296791</c:v>
                </c:pt>
                <c:pt idx="320">
                  <c:v>30.797933830015086</c:v>
                </c:pt>
                <c:pt idx="321">
                  <c:v>30.246229599940342</c:v>
                </c:pt>
                <c:pt idx="322">
                  <c:v>30.436688651448495</c:v>
                </c:pt>
                <c:pt idx="323">
                  <c:v>30.475277992210515</c:v>
                </c:pt>
                <c:pt idx="324">
                  <c:v>29.918716336528036</c:v>
                </c:pt>
                <c:pt idx="325">
                  <c:v>30.666526603414916</c:v>
                </c:pt>
                <c:pt idx="326">
                  <c:v>32.026916114508694</c:v>
                </c:pt>
              </c:numCache>
            </c:numRef>
          </c:val>
          <c:smooth val="0"/>
        </c:ser>
        <c:dLbls>
          <c:showLegendKey val="0"/>
          <c:showVal val="0"/>
          <c:showCatName val="0"/>
          <c:showSerName val="0"/>
          <c:showPercent val="0"/>
          <c:showBubbleSize val="0"/>
        </c:dLbls>
        <c:marker val="1"/>
        <c:smooth val="0"/>
        <c:axId val="211384832"/>
        <c:axId val="156216704"/>
      </c:lineChart>
      <c:dateAx>
        <c:axId val="211384832"/>
        <c:scaling>
          <c:orientation val="minMax"/>
        </c:scaling>
        <c:delete val="0"/>
        <c:axPos val="b"/>
        <c:numFmt formatCode="mm/dd/yy" sourceLinked="1"/>
        <c:majorTickMark val="out"/>
        <c:minorTickMark val="none"/>
        <c:tickLblPos val="nextTo"/>
        <c:crossAx val="156216704"/>
        <c:crosses val="autoZero"/>
        <c:auto val="1"/>
        <c:lblOffset val="100"/>
        <c:baseTimeUnit val="days"/>
      </c:dateAx>
      <c:valAx>
        <c:axId val="156216704"/>
        <c:scaling>
          <c:orientation val="minMax"/>
          <c:min val="20"/>
        </c:scaling>
        <c:delete val="0"/>
        <c:axPos val="l"/>
        <c:majorGridlines/>
        <c:title>
          <c:tx>
            <c:rich>
              <a:bodyPr rot="-5400000" vert="horz"/>
              <a:lstStyle/>
              <a:p>
                <a:pPr>
                  <a:defRPr/>
                </a:pPr>
                <a:r>
                  <a:rPr lang="en-US" sz="1100">
                    <a:latin typeface="Times New Roman" pitchFamily="18" charset="0"/>
                    <a:cs typeface="Times New Roman" pitchFamily="18" charset="0"/>
                  </a:rPr>
                  <a:t>Cumulative Return</a:t>
                </a:r>
              </a:p>
            </c:rich>
          </c:tx>
          <c:layout>
            <c:manualLayout>
              <c:xMode val="edge"/>
              <c:yMode val="edge"/>
              <c:x val="1.86491968503937E-2"/>
              <c:y val="0.1449812586135763"/>
            </c:manualLayout>
          </c:layout>
          <c:overlay val="0"/>
        </c:title>
        <c:numFmt formatCode="General" sourceLinked="1"/>
        <c:majorTickMark val="out"/>
        <c:minorTickMark val="none"/>
        <c:tickLblPos val="nextTo"/>
        <c:crossAx val="211384832"/>
        <c:crosses val="autoZero"/>
        <c:crossBetween val="between"/>
      </c:valAx>
    </c:plotArea>
    <c:legend>
      <c:legendPos val="r"/>
      <c:layout>
        <c:manualLayout>
          <c:xMode val="edge"/>
          <c:yMode val="edge"/>
          <c:x val="2.4718923198733176E-2"/>
          <c:y val="0.90784024090012005"/>
          <c:w val="0.94361045130641363"/>
          <c:h val="8.612830372947605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31980715657714"/>
          <c:y val="5.1400554097404488E-2"/>
          <c:w val="0.86545058281285103"/>
          <c:h val="0.70298993875765514"/>
        </c:manualLayout>
      </c:layout>
      <c:lineChart>
        <c:grouping val="standard"/>
        <c:varyColors val="0"/>
        <c:ser>
          <c:idx val="0"/>
          <c:order val="0"/>
          <c:tx>
            <c:strRef>
              <c:f>'Fig 5 Average Short Interest'!$C$1</c:f>
              <c:strCache>
                <c:ptCount val="1"/>
                <c:pt idx="0">
                  <c:v>Not Banned Short</c:v>
                </c:pt>
              </c:strCache>
            </c:strRef>
          </c:tx>
          <c:spPr>
            <a:ln>
              <a:solidFill>
                <a:srgbClr val="002060"/>
              </a:solidFill>
              <a:prstDash val="sysDash"/>
            </a:ln>
          </c:spPr>
          <c:marker>
            <c:symbol val="none"/>
          </c:marker>
          <c:cat>
            <c:numRef>
              <c:f>'Fig 5 Average Short Interest'!$A$2:$A$24</c:f>
              <c:numCache>
                <c:formatCode>General</c:formatCode>
                <c:ptCount val="23"/>
                <c:pt idx="0">
                  <c:v>1</c:v>
                </c:pt>
                <c:pt idx="2">
                  <c:v>2</c:v>
                </c:pt>
                <c:pt idx="4">
                  <c:v>3</c:v>
                </c:pt>
                <c:pt idx="6">
                  <c:v>4</c:v>
                </c:pt>
                <c:pt idx="8">
                  <c:v>5</c:v>
                </c:pt>
                <c:pt idx="10">
                  <c:v>6</c:v>
                </c:pt>
                <c:pt idx="12">
                  <c:v>7</c:v>
                </c:pt>
                <c:pt idx="14">
                  <c:v>8</c:v>
                </c:pt>
                <c:pt idx="16">
                  <c:v>9</c:v>
                </c:pt>
                <c:pt idx="18">
                  <c:v>10</c:v>
                </c:pt>
                <c:pt idx="20">
                  <c:v>11</c:v>
                </c:pt>
                <c:pt idx="22">
                  <c:v>12</c:v>
                </c:pt>
              </c:numCache>
            </c:numRef>
          </c:cat>
          <c:val>
            <c:numRef>
              <c:f>'Fig 5 Average Short Interest'!$C$2:$C$25</c:f>
              <c:numCache>
                <c:formatCode>General</c:formatCode>
                <c:ptCount val="24"/>
                <c:pt idx="0">
                  <c:v>18.049797276611567</c:v>
                </c:pt>
                <c:pt idx="1">
                  <c:v>18.794641314249841</c:v>
                </c:pt>
                <c:pt idx="2">
                  <c:v>18.591521721942232</c:v>
                </c:pt>
                <c:pt idx="3">
                  <c:v>19.349279155763693</c:v>
                </c:pt>
                <c:pt idx="4">
                  <c:v>19.599259305</c:v>
                </c:pt>
                <c:pt idx="5">
                  <c:v>20.974409722765206</c:v>
                </c:pt>
                <c:pt idx="6">
                  <c:v>20.115659529727331</c:v>
                </c:pt>
                <c:pt idx="7">
                  <c:v>20.070914744648494</c:v>
                </c:pt>
                <c:pt idx="8">
                  <c:v>21.027175414637931</c:v>
                </c:pt>
                <c:pt idx="9">
                  <c:v>20.499968196507631</c:v>
                </c:pt>
                <c:pt idx="10">
                  <c:v>21.052529577281785</c:v>
                </c:pt>
                <c:pt idx="11">
                  <c:v>21.877412041927947</c:v>
                </c:pt>
                <c:pt idx="12">
                  <c:v>20.954645480598916</c:v>
                </c:pt>
                <c:pt idx="13">
                  <c:v>20.729605097395893</c:v>
                </c:pt>
                <c:pt idx="14">
                  <c:v>20.21013459790041</c:v>
                </c:pt>
                <c:pt idx="15">
                  <c:v>19.821282347688857</c:v>
                </c:pt>
                <c:pt idx="16">
                  <c:v>19.444601741191299</c:v>
                </c:pt>
                <c:pt idx="17">
                  <c:v>19.768244181683826</c:v>
                </c:pt>
                <c:pt idx="18">
                  <c:v>18.128430966980602</c:v>
                </c:pt>
                <c:pt idx="19">
                  <c:v>14.996511245998844</c:v>
                </c:pt>
                <c:pt idx="20">
                  <c:v>14.490334948926604</c:v>
                </c:pt>
                <c:pt idx="21">
                  <c:v>13.716343154264813</c:v>
                </c:pt>
                <c:pt idx="22">
                  <c:v>13.60942386405921</c:v>
                </c:pt>
                <c:pt idx="23">
                  <c:v>13.839279238506618</c:v>
                </c:pt>
              </c:numCache>
            </c:numRef>
          </c:val>
          <c:smooth val="0"/>
        </c:ser>
        <c:ser>
          <c:idx val="1"/>
          <c:order val="1"/>
          <c:tx>
            <c:strRef>
              <c:f>'Fig 5 Average Short Interest'!$D$1</c:f>
              <c:strCache>
                <c:ptCount val="1"/>
                <c:pt idx="0">
                  <c:v>Banned Short</c:v>
                </c:pt>
              </c:strCache>
            </c:strRef>
          </c:tx>
          <c:spPr>
            <a:ln>
              <a:solidFill>
                <a:srgbClr val="00B050"/>
              </a:solidFill>
              <a:prstDash val="sysDash"/>
            </a:ln>
          </c:spPr>
          <c:marker>
            <c:symbol val="none"/>
          </c:marker>
          <c:cat>
            <c:numRef>
              <c:f>'Fig 5 Average Short Interest'!$A$2:$A$24</c:f>
              <c:numCache>
                <c:formatCode>General</c:formatCode>
                <c:ptCount val="23"/>
                <c:pt idx="0">
                  <c:v>1</c:v>
                </c:pt>
                <c:pt idx="2">
                  <c:v>2</c:v>
                </c:pt>
                <c:pt idx="4">
                  <c:v>3</c:v>
                </c:pt>
                <c:pt idx="6">
                  <c:v>4</c:v>
                </c:pt>
                <c:pt idx="8">
                  <c:v>5</c:v>
                </c:pt>
                <c:pt idx="10">
                  <c:v>6</c:v>
                </c:pt>
                <c:pt idx="12">
                  <c:v>7</c:v>
                </c:pt>
                <c:pt idx="14">
                  <c:v>8</c:v>
                </c:pt>
                <c:pt idx="16">
                  <c:v>9</c:v>
                </c:pt>
                <c:pt idx="18">
                  <c:v>10</c:v>
                </c:pt>
                <c:pt idx="20">
                  <c:v>11</c:v>
                </c:pt>
                <c:pt idx="22">
                  <c:v>12</c:v>
                </c:pt>
              </c:numCache>
            </c:numRef>
          </c:cat>
          <c:val>
            <c:numRef>
              <c:f>'Fig 5 Average Short Interest'!$D$2:$D$25</c:f>
              <c:numCache>
                <c:formatCode>General</c:formatCode>
                <c:ptCount val="24"/>
                <c:pt idx="0">
                  <c:v>16.516921578249988</c:v>
                </c:pt>
                <c:pt idx="1">
                  <c:v>17.391373384945926</c:v>
                </c:pt>
                <c:pt idx="2">
                  <c:v>17.717367877027527</c:v>
                </c:pt>
                <c:pt idx="3">
                  <c:v>17.949972157525348</c:v>
                </c:pt>
                <c:pt idx="4">
                  <c:v>20.103904146000005</c:v>
                </c:pt>
                <c:pt idx="5">
                  <c:v>18.931639589546581</c:v>
                </c:pt>
                <c:pt idx="6">
                  <c:v>18.195188775117892</c:v>
                </c:pt>
                <c:pt idx="7">
                  <c:v>18.161586620713592</c:v>
                </c:pt>
                <c:pt idx="8">
                  <c:v>18.621481889731761</c:v>
                </c:pt>
                <c:pt idx="9">
                  <c:v>18.641792129223504</c:v>
                </c:pt>
                <c:pt idx="10">
                  <c:v>19.532654862105481</c:v>
                </c:pt>
                <c:pt idx="11">
                  <c:v>18.086348666298651</c:v>
                </c:pt>
                <c:pt idx="12">
                  <c:v>20.910789121163457</c:v>
                </c:pt>
                <c:pt idx="13">
                  <c:v>20.160814462216944</c:v>
                </c:pt>
                <c:pt idx="14">
                  <c:v>19.809141481027574</c:v>
                </c:pt>
                <c:pt idx="15">
                  <c:v>18.698604340782577</c:v>
                </c:pt>
                <c:pt idx="16">
                  <c:v>19.424466952339305</c:v>
                </c:pt>
                <c:pt idx="17">
                  <c:v>19.091245608364858</c:v>
                </c:pt>
                <c:pt idx="18">
                  <c:v>16.645867584003124</c:v>
                </c:pt>
                <c:pt idx="19">
                  <c:v>16.625789693689246</c:v>
                </c:pt>
                <c:pt idx="20">
                  <c:v>13.732073578595303</c:v>
                </c:pt>
                <c:pt idx="21">
                  <c:v>12.307672977029993</c:v>
                </c:pt>
                <c:pt idx="22">
                  <c:v>13.163891543612587</c:v>
                </c:pt>
                <c:pt idx="23">
                  <c:v>12.884837893086157</c:v>
                </c:pt>
              </c:numCache>
            </c:numRef>
          </c:val>
          <c:smooth val="0"/>
        </c:ser>
        <c:ser>
          <c:idx val="2"/>
          <c:order val="2"/>
          <c:tx>
            <c:strRef>
              <c:f>'Fig 5 Average Short Interest'!$F$1</c:f>
              <c:strCache>
                <c:ptCount val="1"/>
                <c:pt idx="0">
                  <c:v>Banned Value</c:v>
                </c:pt>
              </c:strCache>
            </c:strRef>
          </c:tx>
          <c:spPr>
            <a:ln>
              <a:solidFill>
                <a:srgbClr val="0070C0"/>
              </a:solidFill>
              <a:prstDash val="sysDash"/>
            </a:ln>
          </c:spPr>
          <c:marker>
            <c:symbol val="none"/>
          </c:marker>
          <c:cat>
            <c:numRef>
              <c:f>'Fig 5 Average Short Interest'!$A$2:$A$24</c:f>
              <c:numCache>
                <c:formatCode>General</c:formatCode>
                <c:ptCount val="23"/>
                <c:pt idx="0">
                  <c:v>1</c:v>
                </c:pt>
                <c:pt idx="2">
                  <c:v>2</c:v>
                </c:pt>
                <c:pt idx="4">
                  <c:v>3</c:v>
                </c:pt>
                <c:pt idx="6">
                  <c:v>4</c:v>
                </c:pt>
                <c:pt idx="8">
                  <c:v>5</c:v>
                </c:pt>
                <c:pt idx="10">
                  <c:v>6</c:v>
                </c:pt>
                <c:pt idx="12">
                  <c:v>7</c:v>
                </c:pt>
                <c:pt idx="14">
                  <c:v>8</c:v>
                </c:pt>
                <c:pt idx="16">
                  <c:v>9</c:v>
                </c:pt>
                <c:pt idx="18">
                  <c:v>10</c:v>
                </c:pt>
                <c:pt idx="20">
                  <c:v>11</c:v>
                </c:pt>
                <c:pt idx="22">
                  <c:v>12</c:v>
                </c:pt>
              </c:numCache>
            </c:numRef>
          </c:cat>
          <c:val>
            <c:numRef>
              <c:f>'Fig 5 Average Short Interest'!$F$2:$F$25</c:f>
              <c:numCache>
                <c:formatCode>General</c:formatCode>
                <c:ptCount val="24"/>
                <c:pt idx="0">
                  <c:v>5.3065694682675888</c:v>
                </c:pt>
                <c:pt idx="1">
                  <c:v>5.7919985322896377</c:v>
                </c:pt>
                <c:pt idx="2">
                  <c:v>5.7027126492810121</c:v>
                </c:pt>
                <c:pt idx="3">
                  <c:v>5.978196241152073</c:v>
                </c:pt>
                <c:pt idx="4">
                  <c:v>5.8</c:v>
                </c:pt>
                <c:pt idx="5">
                  <c:v>6.5362326600146083</c:v>
                </c:pt>
                <c:pt idx="6">
                  <c:v>6.3391686922702917</c:v>
                </c:pt>
                <c:pt idx="7">
                  <c:v>6.3470946601941494</c:v>
                </c:pt>
                <c:pt idx="8">
                  <c:v>6.5014611650485463</c:v>
                </c:pt>
                <c:pt idx="9">
                  <c:v>6.4297719000242859</c:v>
                </c:pt>
                <c:pt idx="10">
                  <c:v>6.5510444874274638</c:v>
                </c:pt>
                <c:pt idx="11">
                  <c:v>6.8324824921516729</c:v>
                </c:pt>
                <c:pt idx="12">
                  <c:v>5.9790408032471642</c:v>
                </c:pt>
                <c:pt idx="13">
                  <c:v>6.3594248449860906</c:v>
                </c:pt>
                <c:pt idx="14">
                  <c:v>6.0155583864118967</c:v>
                </c:pt>
                <c:pt idx="15">
                  <c:v>5.6936600891151938</c:v>
                </c:pt>
                <c:pt idx="16">
                  <c:v>5.5459508161967355</c:v>
                </c:pt>
                <c:pt idx="17">
                  <c:v>5.5819753610875082</c:v>
                </c:pt>
                <c:pt idx="18">
                  <c:v>5.1415871325095726</c:v>
                </c:pt>
                <c:pt idx="19">
                  <c:v>4.4544833549502787</c:v>
                </c:pt>
                <c:pt idx="20">
                  <c:v>4.4874163291409133</c:v>
                </c:pt>
                <c:pt idx="21">
                  <c:v>3.9405190385024746</c:v>
                </c:pt>
                <c:pt idx="22">
                  <c:v>3.9488979591836806</c:v>
                </c:pt>
                <c:pt idx="23">
                  <c:v>3.8518532901833997</c:v>
                </c:pt>
              </c:numCache>
            </c:numRef>
          </c:val>
          <c:smooth val="0"/>
        </c:ser>
        <c:ser>
          <c:idx val="3"/>
          <c:order val="3"/>
          <c:tx>
            <c:strRef>
              <c:f>'Fig 5 Average Short Interest'!$E$1</c:f>
              <c:strCache>
                <c:ptCount val="1"/>
                <c:pt idx="0">
                  <c:v>Not-Banned Value</c:v>
                </c:pt>
              </c:strCache>
            </c:strRef>
          </c:tx>
          <c:spPr>
            <a:ln>
              <a:solidFill>
                <a:srgbClr val="C00000"/>
              </a:solidFill>
              <a:prstDash val="sysDash"/>
            </a:ln>
          </c:spPr>
          <c:marker>
            <c:symbol val="none"/>
          </c:marker>
          <c:cat>
            <c:numRef>
              <c:f>'Fig 5 Average Short Interest'!$A$2:$A$24</c:f>
              <c:numCache>
                <c:formatCode>General</c:formatCode>
                <c:ptCount val="23"/>
                <c:pt idx="0">
                  <c:v>1</c:v>
                </c:pt>
                <c:pt idx="2">
                  <c:v>2</c:v>
                </c:pt>
                <c:pt idx="4">
                  <c:v>3</c:v>
                </c:pt>
                <c:pt idx="6">
                  <c:v>4</c:v>
                </c:pt>
                <c:pt idx="8">
                  <c:v>5</c:v>
                </c:pt>
                <c:pt idx="10">
                  <c:v>6</c:v>
                </c:pt>
                <c:pt idx="12">
                  <c:v>7</c:v>
                </c:pt>
                <c:pt idx="14">
                  <c:v>8</c:v>
                </c:pt>
                <c:pt idx="16">
                  <c:v>9</c:v>
                </c:pt>
                <c:pt idx="18">
                  <c:v>10</c:v>
                </c:pt>
                <c:pt idx="20">
                  <c:v>11</c:v>
                </c:pt>
                <c:pt idx="22">
                  <c:v>12</c:v>
                </c:pt>
              </c:numCache>
            </c:numRef>
          </c:cat>
          <c:val>
            <c:numRef>
              <c:f>'Fig 5 Average Short Interest'!$E$2:$E$25</c:f>
              <c:numCache>
                <c:formatCode>General</c:formatCode>
                <c:ptCount val="24"/>
                <c:pt idx="0">
                  <c:v>4.7278422273781908</c:v>
                </c:pt>
                <c:pt idx="1">
                  <c:v>5.1338078703703767</c:v>
                </c:pt>
                <c:pt idx="2">
                  <c:v>5.0696910755148821</c:v>
                </c:pt>
                <c:pt idx="3">
                  <c:v>5.1709644087256095</c:v>
                </c:pt>
                <c:pt idx="4">
                  <c:v>5.8</c:v>
                </c:pt>
                <c:pt idx="5">
                  <c:v>5.6652348224513256</c:v>
                </c:pt>
                <c:pt idx="6">
                  <c:v>5.5308160919540379</c:v>
                </c:pt>
                <c:pt idx="7">
                  <c:v>5.5374370709382257</c:v>
                </c:pt>
                <c:pt idx="8">
                  <c:v>5.6453501722158563</c:v>
                </c:pt>
                <c:pt idx="9">
                  <c:v>5.6672571428571503</c:v>
                </c:pt>
                <c:pt idx="10">
                  <c:v>5.8434693877551176</c:v>
                </c:pt>
                <c:pt idx="11">
                  <c:v>6.0796575342465786</c:v>
                </c:pt>
                <c:pt idx="12">
                  <c:v>6.4982770270270294</c:v>
                </c:pt>
                <c:pt idx="13">
                  <c:v>7.0308948545861476</c:v>
                </c:pt>
                <c:pt idx="14">
                  <c:v>6.7156194690265547</c:v>
                </c:pt>
                <c:pt idx="15">
                  <c:v>6.3571792035398387</c:v>
                </c:pt>
                <c:pt idx="16">
                  <c:v>6.310706401766021</c:v>
                </c:pt>
                <c:pt idx="17">
                  <c:v>6.3178256070640249</c:v>
                </c:pt>
                <c:pt idx="18">
                  <c:v>5.4220552486187961</c:v>
                </c:pt>
                <c:pt idx="19">
                  <c:v>4.6472737306843346</c:v>
                </c:pt>
                <c:pt idx="20">
                  <c:v>4.329889624724065</c:v>
                </c:pt>
                <c:pt idx="21">
                  <c:v>4.101838316722044</c:v>
                </c:pt>
                <c:pt idx="22">
                  <c:v>4.1158093126385822</c:v>
                </c:pt>
                <c:pt idx="23">
                  <c:v>4.0812571428571482</c:v>
                </c:pt>
              </c:numCache>
            </c:numRef>
          </c:val>
          <c:smooth val="0"/>
        </c:ser>
        <c:dLbls>
          <c:showLegendKey val="0"/>
          <c:showVal val="0"/>
          <c:showCatName val="0"/>
          <c:showSerName val="0"/>
          <c:showPercent val="0"/>
          <c:showBubbleSize val="0"/>
        </c:dLbls>
        <c:marker val="1"/>
        <c:smooth val="0"/>
        <c:axId val="212365312"/>
        <c:axId val="199272128"/>
      </c:lineChart>
      <c:catAx>
        <c:axId val="212365312"/>
        <c:scaling>
          <c:orientation val="minMax"/>
        </c:scaling>
        <c:delete val="0"/>
        <c:axPos val="b"/>
        <c:title>
          <c:tx>
            <c:rich>
              <a:bodyPr/>
              <a:lstStyle/>
              <a:p>
                <a:pPr>
                  <a:defRPr/>
                </a:pPr>
                <a:r>
                  <a:rPr lang="en-CA" sz="1100">
                    <a:latin typeface="Times New Roman" pitchFamily="18" charset="0"/>
                    <a:cs typeface="Times New Roman" pitchFamily="18" charset="0"/>
                  </a:rPr>
                  <a:t>Month</a:t>
                </a:r>
              </a:p>
            </c:rich>
          </c:tx>
          <c:layout>
            <c:manualLayout>
              <c:xMode val="edge"/>
              <c:yMode val="edge"/>
              <c:x val="0.49693901347953484"/>
              <c:y val="0.8369074236090861"/>
            </c:manualLayout>
          </c:layout>
          <c:overlay val="0"/>
        </c:title>
        <c:numFmt formatCode="General" sourceLinked="1"/>
        <c:majorTickMark val="out"/>
        <c:minorTickMark val="none"/>
        <c:tickLblPos val="nextTo"/>
        <c:crossAx val="199272128"/>
        <c:crosses val="autoZero"/>
        <c:auto val="1"/>
        <c:lblAlgn val="ctr"/>
        <c:lblOffset val="100"/>
        <c:noMultiLvlLbl val="0"/>
      </c:catAx>
      <c:valAx>
        <c:axId val="199272128"/>
        <c:scaling>
          <c:orientation val="minMax"/>
        </c:scaling>
        <c:delete val="0"/>
        <c:axPos val="l"/>
        <c:majorGridlines/>
        <c:title>
          <c:tx>
            <c:rich>
              <a:bodyPr rot="-5400000" vert="horz"/>
              <a:lstStyle/>
              <a:p>
                <a:pPr>
                  <a:defRPr/>
                </a:pPr>
                <a:r>
                  <a:rPr lang="en-CA" sz="1100">
                    <a:latin typeface="Times New Roman" pitchFamily="18" charset="0"/>
                    <a:cs typeface="Times New Roman" pitchFamily="18" charset="0"/>
                  </a:rPr>
                  <a:t>% Float Sold Short</a:t>
                </a:r>
              </a:p>
            </c:rich>
          </c:tx>
          <c:layout>
            <c:manualLayout>
              <c:xMode val="edge"/>
              <c:yMode val="edge"/>
              <c:x val="2.0571661175632531E-2"/>
              <c:y val="0.22077606039985739"/>
            </c:manualLayout>
          </c:layout>
          <c:overlay val="0"/>
        </c:title>
        <c:numFmt formatCode="General" sourceLinked="1"/>
        <c:majorTickMark val="out"/>
        <c:minorTickMark val="none"/>
        <c:tickLblPos val="nextTo"/>
        <c:crossAx val="212365312"/>
        <c:crosses val="autoZero"/>
        <c:crossBetween val="between"/>
      </c:valAx>
    </c:plotArea>
    <c:legend>
      <c:legendPos val="r"/>
      <c:layout>
        <c:manualLayout>
          <c:xMode val="edge"/>
          <c:yMode val="edge"/>
          <c:x val="5.0612494116749153E-2"/>
          <c:y val="0.89635170603674541"/>
          <c:w val="0.90548386170711781"/>
          <c:h val="0.103648293963254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42708123023123"/>
          <c:y val="7.2805299143996513E-2"/>
          <c:w val="0.81974409448819474"/>
          <c:h val="0.6611947465908522"/>
        </c:manualLayout>
      </c:layout>
      <c:lineChart>
        <c:grouping val="standard"/>
        <c:varyColors val="0"/>
        <c:ser>
          <c:idx val="0"/>
          <c:order val="0"/>
          <c:tx>
            <c:strRef>
              <c:f>'Fig 4'!$D$2</c:f>
              <c:strCache>
                <c:ptCount val="1"/>
                <c:pt idx="0">
                  <c:v>Estimated</c:v>
                </c:pt>
              </c:strCache>
            </c:strRef>
          </c:tx>
          <c:spPr>
            <a:ln>
              <a:prstDash val="sysDash"/>
            </a:ln>
          </c:spPr>
          <c:marker>
            <c:symbol val="none"/>
          </c:marker>
          <c:cat>
            <c:numRef>
              <c:f>'Fig 4'!$A$4:$A$257</c:f>
              <c:numCache>
                <c:formatCode>mm/dd/yy</c:formatCode>
                <c:ptCount val="254"/>
                <c:pt idx="0">
                  <c:v>39343</c:v>
                </c:pt>
                <c:pt idx="1">
                  <c:v>39344</c:v>
                </c:pt>
                <c:pt idx="2">
                  <c:v>39345</c:v>
                </c:pt>
                <c:pt idx="3">
                  <c:v>39346</c:v>
                </c:pt>
                <c:pt idx="4">
                  <c:v>39349</c:v>
                </c:pt>
                <c:pt idx="5">
                  <c:v>39350</c:v>
                </c:pt>
                <c:pt idx="6">
                  <c:v>39351</c:v>
                </c:pt>
                <c:pt idx="7">
                  <c:v>39352</c:v>
                </c:pt>
                <c:pt idx="8">
                  <c:v>39353</c:v>
                </c:pt>
                <c:pt idx="9">
                  <c:v>39356</c:v>
                </c:pt>
                <c:pt idx="10">
                  <c:v>39357</c:v>
                </c:pt>
                <c:pt idx="11">
                  <c:v>39358</c:v>
                </c:pt>
                <c:pt idx="12">
                  <c:v>39359</c:v>
                </c:pt>
                <c:pt idx="13">
                  <c:v>39360</c:v>
                </c:pt>
                <c:pt idx="14">
                  <c:v>39363</c:v>
                </c:pt>
                <c:pt idx="15">
                  <c:v>39364</c:v>
                </c:pt>
                <c:pt idx="16">
                  <c:v>39365</c:v>
                </c:pt>
                <c:pt idx="17">
                  <c:v>39366</c:v>
                </c:pt>
                <c:pt idx="18">
                  <c:v>39367</c:v>
                </c:pt>
                <c:pt idx="19">
                  <c:v>39370</c:v>
                </c:pt>
                <c:pt idx="20">
                  <c:v>39371</c:v>
                </c:pt>
                <c:pt idx="21">
                  <c:v>39372</c:v>
                </c:pt>
                <c:pt idx="22">
                  <c:v>39373</c:v>
                </c:pt>
                <c:pt idx="23">
                  <c:v>39374</c:v>
                </c:pt>
                <c:pt idx="24">
                  <c:v>39377</c:v>
                </c:pt>
                <c:pt idx="25">
                  <c:v>39378</c:v>
                </c:pt>
                <c:pt idx="26">
                  <c:v>39379</c:v>
                </c:pt>
                <c:pt idx="27">
                  <c:v>39380</c:v>
                </c:pt>
                <c:pt idx="28">
                  <c:v>39381</c:v>
                </c:pt>
                <c:pt idx="29">
                  <c:v>39384</c:v>
                </c:pt>
                <c:pt idx="30">
                  <c:v>39385</c:v>
                </c:pt>
                <c:pt idx="31">
                  <c:v>39386</c:v>
                </c:pt>
                <c:pt idx="32">
                  <c:v>39387</c:v>
                </c:pt>
                <c:pt idx="33">
                  <c:v>39388</c:v>
                </c:pt>
                <c:pt idx="34">
                  <c:v>39391</c:v>
                </c:pt>
                <c:pt idx="35">
                  <c:v>39392</c:v>
                </c:pt>
                <c:pt idx="36">
                  <c:v>39393</c:v>
                </c:pt>
                <c:pt idx="37">
                  <c:v>39394</c:v>
                </c:pt>
                <c:pt idx="38">
                  <c:v>39395</c:v>
                </c:pt>
                <c:pt idx="39">
                  <c:v>39398</c:v>
                </c:pt>
                <c:pt idx="40">
                  <c:v>39399</c:v>
                </c:pt>
                <c:pt idx="41">
                  <c:v>39400</c:v>
                </c:pt>
                <c:pt idx="42">
                  <c:v>39401</c:v>
                </c:pt>
                <c:pt idx="43">
                  <c:v>39402</c:v>
                </c:pt>
                <c:pt idx="44">
                  <c:v>39405</c:v>
                </c:pt>
                <c:pt idx="45">
                  <c:v>39406</c:v>
                </c:pt>
                <c:pt idx="46">
                  <c:v>39407</c:v>
                </c:pt>
                <c:pt idx="47">
                  <c:v>39409</c:v>
                </c:pt>
                <c:pt idx="48">
                  <c:v>39412</c:v>
                </c:pt>
                <c:pt idx="49">
                  <c:v>39413</c:v>
                </c:pt>
                <c:pt idx="50">
                  <c:v>39414</c:v>
                </c:pt>
                <c:pt idx="51">
                  <c:v>39415</c:v>
                </c:pt>
                <c:pt idx="52">
                  <c:v>39416</c:v>
                </c:pt>
                <c:pt idx="53">
                  <c:v>39419</c:v>
                </c:pt>
                <c:pt idx="54">
                  <c:v>39420</c:v>
                </c:pt>
                <c:pt idx="55">
                  <c:v>39421</c:v>
                </c:pt>
                <c:pt idx="56">
                  <c:v>39422</c:v>
                </c:pt>
                <c:pt idx="57">
                  <c:v>39423</c:v>
                </c:pt>
                <c:pt idx="58">
                  <c:v>39426</c:v>
                </c:pt>
                <c:pt idx="59">
                  <c:v>39427</c:v>
                </c:pt>
                <c:pt idx="60">
                  <c:v>39428</c:v>
                </c:pt>
                <c:pt idx="61">
                  <c:v>39429</c:v>
                </c:pt>
                <c:pt idx="62">
                  <c:v>39430</c:v>
                </c:pt>
                <c:pt idx="63">
                  <c:v>39433</c:v>
                </c:pt>
                <c:pt idx="64">
                  <c:v>39434</c:v>
                </c:pt>
                <c:pt idx="65">
                  <c:v>39435</c:v>
                </c:pt>
                <c:pt idx="66">
                  <c:v>39436</c:v>
                </c:pt>
                <c:pt idx="67">
                  <c:v>39437</c:v>
                </c:pt>
                <c:pt idx="68">
                  <c:v>39440</c:v>
                </c:pt>
                <c:pt idx="69">
                  <c:v>39442</c:v>
                </c:pt>
                <c:pt idx="70">
                  <c:v>39443</c:v>
                </c:pt>
                <c:pt idx="71">
                  <c:v>39444</c:v>
                </c:pt>
                <c:pt idx="72">
                  <c:v>39447</c:v>
                </c:pt>
                <c:pt idx="73">
                  <c:v>39449</c:v>
                </c:pt>
                <c:pt idx="74">
                  <c:v>39450</c:v>
                </c:pt>
                <c:pt idx="75">
                  <c:v>39451</c:v>
                </c:pt>
                <c:pt idx="76">
                  <c:v>39454</c:v>
                </c:pt>
                <c:pt idx="77">
                  <c:v>39455</c:v>
                </c:pt>
                <c:pt idx="78">
                  <c:v>39456</c:v>
                </c:pt>
                <c:pt idx="79">
                  <c:v>39457</c:v>
                </c:pt>
                <c:pt idx="80">
                  <c:v>39458</c:v>
                </c:pt>
                <c:pt idx="81">
                  <c:v>39461</c:v>
                </c:pt>
                <c:pt idx="82">
                  <c:v>39462</c:v>
                </c:pt>
                <c:pt idx="83">
                  <c:v>39463</c:v>
                </c:pt>
                <c:pt idx="84">
                  <c:v>39464</c:v>
                </c:pt>
                <c:pt idx="85">
                  <c:v>39465</c:v>
                </c:pt>
                <c:pt idx="86">
                  <c:v>39469</c:v>
                </c:pt>
                <c:pt idx="87">
                  <c:v>39470</c:v>
                </c:pt>
                <c:pt idx="88">
                  <c:v>39471</c:v>
                </c:pt>
                <c:pt idx="89">
                  <c:v>39472</c:v>
                </c:pt>
                <c:pt idx="90">
                  <c:v>39475</c:v>
                </c:pt>
                <c:pt idx="91">
                  <c:v>39476</c:v>
                </c:pt>
                <c:pt idx="92">
                  <c:v>39477</c:v>
                </c:pt>
                <c:pt idx="93">
                  <c:v>39478</c:v>
                </c:pt>
                <c:pt idx="94">
                  <c:v>39479</c:v>
                </c:pt>
                <c:pt idx="95">
                  <c:v>39482</c:v>
                </c:pt>
                <c:pt idx="96">
                  <c:v>39483</c:v>
                </c:pt>
                <c:pt idx="97">
                  <c:v>39484</c:v>
                </c:pt>
                <c:pt idx="98">
                  <c:v>39485</c:v>
                </c:pt>
                <c:pt idx="99">
                  <c:v>39486</c:v>
                </c:pt>
                <c:pt idx="100">
                  <c:v>39489</c:v>
                </c:pt>
                <c:pt idx="101">
                  <c:v>39490</c:v>
                </c:pt>
                <c:pt idx="102">
                  <c:v>39491</c:v>
                </c:pt>
                <c:pt idx="103">
                  <c:v>39492</c:v>
                </c:pt>
                <c:pt idx="104">
                  <c:v>39493</c:v>
                </c:pt>
                <c:pt idx="105">
                  <c:v>39497</c:v>
                </c:pt>
                <c:pt idx="106">
                  <c:v>39498</c:v>
                </c:pt>
                <c:pt idx="107">
                  <c:v>39499</c:v>
                </c:pt>
                <c:pt idx="108">
                  <c:v>39500</c:v>
                </c:pt>
                <c:pt idx="109">
                  <c:v>39503</c:v>
                </c:pt>
                <c:pt idx="110">
                  <c:v>39504</c:v>
                </c:pt>
                <c:pt idx="111">
                  <c:v>39505</c:v>
                </c:pt>
                <c:pt idx="112">
                  <c:v>39506</c:v>
                </c:pt>
                <c:pt idx="113">
                  <c:v>39507</c:v>
                </c:pt>
                <c:pt idx="114">
                  <c:v>39510</c:v>
                </c:pt>
                <c:pt idx="115">
                  <c:v>39511</c:v>
                </c:pt>
                <c:pt idx="116">
                  <c:v>39512</c:v>
                </c:pt>
                <c:pt idx="117">
                  <c:v>39513</c:v>
                </c:pt>
                <c:pt idx="118">
                  <c:v>39514</c:v>
                </c:pt>
                <c:pt idx="119">
                  <c:v>39517</c:v>
                </c:pt>
                <c:pt idx="120">
                  <c:v>39518</c:v>
                </c:pt>
                <c:pt idx="121">
                  <c:v>39519</c:v>
                </c:pt>
                <c:pt idx="122">
                  <c:v>39520</c:v>
                </c:pt>
                <c:pt idx="123">
                  <c:v>39521</c:v>
                </c:pt>
                <c:pt idx="124">
                  <c:v>39524</c:v>
                </c:pt>
                <c:pt idx="125">
                  <c:v>39525</c:v>
                </c:pt>
                <c:pt idx="126">
                  <c:v>39526</c:v>
                </c:pt>
                <c:pt idx="127">
                  <c:v>39527</c:v>
                </c:pt>
                <c:pt idx="128">
                  <c:v>39531</c:v>
                </c:pt>
                <c:pt idx="129">
                  <c:v>39532</c:v>
                </c:pt>
                <c:pt idx="130">
                  <c:v>39533</c:v>
                </c:pt>
                <c:pt idx="131">
                  <c:v>39534</c:v>
                </c:pt>
                <c:pt idx="132">
                  <c:v>39535</c:v>
                </c:pt>
                <c:pt idx="133">
                  <c:v>39538</c:v>
                </c:pt>
                <c:pt idx="134">
                  <c:v>39539</c:v>
                </c:pt>
                <c:pt idx="135">
                  <c:v>39540</c:v>
                </c:pt>
                <c:pt idx="136">
                  <c:v>39541</c:v>
                </c:pt>
                <c:pt idx="137">
                  <c:v>39542</c:v>
                </c:pt>
                <c:pt idx="138">
                  <c:v>39545</c:v>
                </c:pt>
                <c:pt idx="139">
                  <c:v>39546</c:v>
                </c:pt>
                <c:pt idx="140">
                  <c:v>39547</c:v>
                </c:pt>
                <c:pt idx="141">
                  <c:v>39548</c:v>
                </c:pt>
                <c:pt idx="142">
                  <c:v>39549</c:v>
                </c:pt>
                <c:pt idx="143">
                  <c:v>39552</c:v>
                </c:pt>
                <c:pt idx="144">
                  <c:v>39553</c:v>
                </c:pt>
                <c:pt idx="145">
                  <c:v>39554</c:v>
                </c:pt>
                <c:pt idx="146">
                  <c:v>39555</c:v>
                </c:pt>
                <c:pt idx="147">
                  <c:v>39556</c:v>
                </c:pt>
                <c:pt idx="148">
                  <c:v>39559</c:v>
                </c:pt>
                <c:pt idx="149">
                  <c:v>39560</c:v>
                </c:pt>
                <c:pt idx="150">
                  <c:v>39561</c:v>
                </c:pt>
                <c:pt idx="151">
                  <c:v>39562</c:v>
                </c:pt>
                <c:pt idx="152">
                  <c:v>39563</c:v>
                </c:pt>
                <c:pt idx="153">
                  <c:v>39566</c:v>
                </c:pt>
                <c:pt idx="154">
                  <c:v>39567</c:v>
                </c:pt>
                <c:pt idx="155">
                  <c:v>39568</c:v>
                </c:pt>
                <c:pt idx="156">
                  <c:v>39569</c:v>
                </c:pt>
                <c:pt idx="157">
                  <c:v>39570</c:v>
                </c:pt>
                <c:pt idx="158">
                  <c:v>39573</c:v>
                </c:pt>
                <c:pt idx="159">
                  <c:v>39574</c:v>
                </c:pt>
                <c:pt idx="160">
                  <c:v>39575</c:v>
                </c:pt>
                <c:pt idx="161">
                  <c:v>39576</c:v>
                </c:pt>
                <c:pt idx="162">
                  <c:v>39577</c:v>
                </c:pt>
                <c:pt idx="163">
                  <c:v>39580</c:v>
                </c:pt>
                <c:pt idx="164">
                  <c:v>39581</c:v>
                </c:pt>
                <c:pt idx="165">
                  <c:v>39582</c:v>
                </c:pt>
                <c:pt idx="166">
                  <c:v>39583</c:v>
                </c:pt>
                <c:pt idx="167">
                  <c:v>39584</c:v>
                </c:pt>
                <c:pt idx="168">
                  <c:v>39587</c:v>
                </c:pt>
                <c:pt idx="169">
                  <c:v>39588</c:v>
                </c:pt>
                <c:pt idx="170">
                  <c:v>39589</c:v>
                </c:pt>
                <c:pt idx="171">
                  <c:v>39590</c:v>
                </c:pt>
                <c:pt idx="172">
                  <c:v>39591</c:v>
                </c:pt>
                <c:pt idx="173">
                  <c:v>39595</c:v>
                </c:pt>
                <c:pt idx="174">
                  <c:v>39596</c:v>
                </c:pt>
                <c:pt idx="175">
                  <c:v>39597</c:v>
                </c:pt>
                <c:pt idx="176">
                  <c:v>39598</c:v>
                </c:pt>
                <c:pt idx="177">
                  <c:v>39601</c:v>
                </c:pt>
                <c:pt idx="178">
                  <c:v>39602</c:v>
                </c:pt>
                <c:pt idx="179">
                  <c:v>39603</c:v>
                </c:pt>
                <c:pt idx="180">
                  <c:v>39604</c:v>
                </c:pt>
                <c:pt idx="181">
                  <c:v>39605</c:v>
                </c:pt>
                <c:pt idx="182">
                  <c:v>39608</c:v>
                </c:pt>
                <c:pt idx="183">
                  <c:v>39609</c:v>
                </c:pt>
                <c:pt idx="184">
                  <c:v>39610</c:v>
                </c:pt>
                <c:pt idx="185">
                  <c:v>39611</c:v>
                </c:pt>
                <c:pt idx="186">
                  <c:v>39612</c:v>
                </c:pt>
                <c:pt idx="187">
                  <c:v>39615</c:v>
                </c:pt>
                <c:pt idx="188">
                  <c:v>39616</c:v>
                </c:pt>
                <c:pt idx="189">
                  <c:v>39617</c:v>
                </c:pt>
                <c:pt idx="190">
                  <c:v>39618</c:v>
                </c:pt>
                <c:pt idx="191">
                  <c:v>39619</c:v>
                </c:pt>
                <c:pt idx="192">
                  <c:v>39622</c:v>
                </c:pt>
                <c:pt idx="193">
                  <c:v>39623</c:v>
                </c:pt>
                <c:pt idx="194">
                  <c:v>39624</c:v>
                </c:pt>
                <c:pt idx="195">
                  <c:v>39625</c:v>
                </c:pt>
                <c:pt idx="196">
                  <c:v>39626</c:v>
                </c:pt>
                <c:pt idx="197">
                  <c:v>39629</c:v>
                </c:pt>
                <c:pt idx="198">
                  <c:v>39630</c:v>
                </c:pt>
                <c:pt idx="199">
                  <c:v>39631</c:v>
                </c:pt>
                <c:pt idx="200">
                  <c:v>39632</c:v>
                </c:pt>
                <c:pt idx="201">
                  <c:v>39636</c:v>
                </c:pt>
                <c:pt idx="202">
                  <c:v>39637</c:v>
                </c:pt>
                <c:pt idx="203">
                  <c:v>39638</c:v>
                </c:pt>
                <c:pt idx="204">
                  <c:v>39639</c:v>
                </c:pt>
                <c:pt idx="205">
                  <c:v>39640</c:v>
                </c:pt>
                <c:pt idx="206">
                  <c:v>39643</c:v>
                </c:pt>
                <c:pt idx="207">
                  <c:v>39644</c:v>
                </c:pt>
                <c:pt idx="208">
                  <c:v>39645</c:v>
                </c:pt>
                <c:pt idx="209">
                  <c:v>39646</c:v>
                </c:pt>
                <c:pt idx="210">
                  <c:v>39647</c:v>
                </c:pt>
                <c:pt idx="211">
                  <c:v>39650</c:v>
                </c:pt>
                <c:pt idx="212">
                  <c:v>39651</c:v>
                </c:pt>
                <c:pt idx="213">
                  <c:v>39652</c:v>
                </c:pt>
                <c:pt idx="214">
                  <c:v>39653</c:v>
                </c:pt>
                <c:pt idx="215">
                  <c:v>39654</c:v>
                </c:pt>
                <c:pt idx="216">
                  <c:v>39657</c:v>
                </c:pt>
                <c:pt idx="217">
                  <c:v>39658</c:v>
                </c:pt>
                <c:pt idx="218">
                  <c:v>39659</c:v>
                </c:pt>
                <c:pt idx="219">
                  <c:v>39660</c:v>
                </c:pt>
                <c:pt idx="220">
                  <c:v>39661</c:v>
                </c:pt>
                <c:pt idx="221">
                  <c:v>39664</c:v>
                </c:pt>
                <c:pt idx="222">
                  <c:v>39665</c:v>
                </c:pt>
                <c:pt idx="223">
                  <c:v>39666</c:v>
                </c:pt>
                <c:pt idx="224">
                  <c:v>39667</c:v>
                </c:pt>
                <c:pt idx="225">
                  <c:v>39668</c:v>
                </c:pt>
                <c:pt idx="226">
                  <c:v>39671</c:v>
                </c:pt>
                <c:pt idx="227">
                  <c:v>39672</c:v>
                </c:pt>
                <c:pt idx="228">
                  <c:v>39673</c:v>
                </c:pt>
                <c:pt idx="229">
                  <c:v>39674</c:v>
                </c:pt>
                <c:pt idx="230">
                  <c:v>39675</c:v>
                </c:pt>
                <c:pt idx="231">
                  <c:v>39678</c:v>
                </c:pt>
                <c:pt idx="232">
                  <c:v>39679</c:v>
                </c:pt>
                <c:pt idx="233">
                  <c:v>39680</c:v>
                </c:pt>
                <c:pt idx="234">
                  <c:v>39681</c:v>
                </c:pt>
                <c:pt idx="235">
                  <c:v>39682</c:v>
                </c:pt>
                <c:pt idx="236">
                  <c:v>39685</c:v>
                </c:pt>
                <c:pt idx="237">
                  <c:v>39686</c:v>
                </c:pt>
                <c:pt idx="238">
                  <c:v>39687</c:v>
                </c:pt>
                <c:pt idx="239">
                  <c:v>39688</c:v>
                </c:pt>
                <c:pt idx="240">
                  <c:v>39689</c:v>
                </c:pt>
                <c:pt idx="241">
                  <c:v>39693</c:v>
                </c:pt>
                <c:pt idx="242">
                  <c:v>39694</c:v>
                </c:pt>
                <c:pt idx="243">
                  <c:v>39695</c:v>
                </c:pt>
                <c:pt idx="244">
                  <c:v>39696</c:v>
                </c:pt>
                <c:pt idx="245">
                  <c:v>39699</c:v>
                </c:pt>
                <c:pt idx="246">
                  <c:v>39700</c:v>
                </c:pt>
                <c:pt idx="247">
                  <c:v>39701</c:v>
                </c:pt>
                <c:pt idx="248">
                  <c:v>39702</c:v>
                </c:pt>
                <c:pt idx="249">
                  <c:v>39703</c:v>
                </c:pt>
                <c:pt idx="250">
                  <c:v>39706</c:v>
                </c:pt>
                <c:pt idx="251">
                  <c:v>39707</c:v>
                </c:pt>
                <c:pt idx="252">
                  <c:v>39708</c:v>
                </c:pt>
                <c:pt idx="253">
                  <c:v>39709</c:v>
                </c:pt>
              </c:numCache>
            </c:numRef>
          </c:cat>
          <c:val>
            <c:numRef>
              <c:f>'Fig 4'!$D$3:$D$257</c:f>
              <c:numCache>
                <c:formatCode>General</c:formatCode>
                <c:ptCount val="255"/>
                <c:pt idx="0">
                  <c:v>100</c:v>
                </c:pt>
                <c:pt idx="1">
                  <c:v>104.23008174546537</c:v>
                </c:pt>
                <c:pt idx="2">
                  <c:v>105.19512114182761</c:v>
                </c:pt>
                <c:pt idx="3">
                  <c:v>103.11681718888865</c:v>
                </c:pt>
                <c:pt idx="4">
                  <c:v>103.81436765670401</c:v>
                </c:pt>
                <c:pt idx="5">
                  <c:v>103.36793520169834</c:v>
                </c:pt>
                <c:pt idx="6">
                  <c:v>102.66206762784384</c:v>
                </c:pt>
                <c:pt idx="7">
                  <c:v>103.5161107605398</c:v>
                </c:pt>
                <c:pt idx="8">
                  <c:v>104.30160106603702</c:v>
                </c:pt>
                <c:pt idx="9">
                  <c:v>103.75933119726916</c:v>
                </c:pt>
                <c:pt idx="10">
                  <c:v>105.67855026616805</c:v>
                </c:pt>
                <c:pt idx="11">
                  <c:v>106.50693992430324</c:v>
                </c:pt>
                <c:pt idx="12">
                  <c:v>105.99793970076962</c:v>
                </c:pt>
                <c:pt idx="13">
                  <c:v>105.98741020684389</c:v>
                </c:pt>
                <c:pt idx="14">
                  <c:v>107.90835017056384</c:v>
                </c:pt>
                <c:pt idx="15">
                  <c:v>107.54665659264968</c:v>
                </c:pt>
                <c:pt idx="16">
                  <c:v>108.19383881415342</c:v>
                </c:pt>
                <c:pt idx="17">
                  <c:v>107.62880829485636</c:v>
                </c:pt>
                <c:pt idx="18">
                  <c:v>107.31935155611372</c:v>
                </c:pt>
                <c:pt idx="19">
                  <c:v>107.61217805150221</c:v>
                </c:pt>
                <c:pt idx="20">
                  <c:v>105.65324708227485</c:v>
                </c:pt>
                <c:pt idx="21">
                  <c:v>104.43778922932196</c:v>
                </c:pt>
                <c:pt idx="22">
                  <c:v>104.8479411073404</c:v>
                </c:pt>
                <c:pt idx="23">
                  <c:v>104.31187480737977</c:v>
                </c:pt>
                <c:pt idx="24">
                  <c:v>101.25276139985235</c:v>
                </c:pt>
                <c:pt idx="25">
                  <c:v>102.39195513316631</c:v>
                </c:pt>
                <c:pt idx="26">
                  <c:v>103.55366297426262</c:v>
                </c:pt>
                <c:pt idx="27">
                  <c:v>103.26941224657729</c:v>
                </c:pt>
                <c:pt idx="28">
                  <c:v>103.52295893649075</c:v>
                </c:pt>
                <c:pt idx="29">
                  <c:v>105.0644627082855</c:v>
                </c:pt>
                <c:pt idx="30">
                  <c:v>105.0748851755304</c:v>
                </c:pt>
                <c:pt idx="31">
                  <c:v>105.11706244002886</c:v>
                </c:pt>
                <c:pt idx="32">
                  <c:v>105.98697782673413</c:v>
                </c:pt>
                <c:pt idx="33">
                  <c:v>102.07685113312328</c:v>
                </c:pt>
                <c:pt idx="34">
                  <c:v>100.83287720889133</c:v>
                </c:pt>
                <c:pt idx="35">
                  <c:v>99.424134945965704</c:v>
                </c:pt>
                <c:pt idx="36">
                  <c:v>100.59348676218457</c:v>
                </c:pt>
                <c:pt idx="37">
                  <c:v>96.606170043407786</c:v>
                </c:pt>
                <c:pt idx="38">
                  <c:v>96.767443369186523</c:v>
                </c:pt>
                <c:pt idx="39">
                  <c:v>96.121659744122397</c:v>
                </c:pt>
                <c:pt idx="40">
                  <c:v>96.199881595241578</c:v>
                </c:pt>
                <c:pt idx="41">
                  <c:v>100.51600677300661</c:v>
                </c:pt>
                <c:pt idx="42">
                  <c:v>99.524545821346933</c:v>
                </c:pt>
                <c:pt idx="43">
                  <c:v>97.953592063649978</c:v>
                </c:pt>
                <c:pt idx="44">
                  <c:v>97.519134141579713</c:v>
                </c:pt>
                <c:pt idx="45">
                  <c:v>94.752120179499528</c:v>
                </c:pt>
                <c:pt idx="46">
                  <c:v>94.368530713071209</c:v>
                </c:pt>
                <c:pt idx="47">
                  <c:v>92.384018263072363</c:v>
                </c:pt>
                <c:pt idx="48">
                  <c:v>94.387073946198882</c:v>
                </c:pt>
                <c:pt idx="49">
                  <c:v>91.188989635173101</c:v>
                </c:pt>
                <c:pt idx="50">
                  <c:v>93.516175732674157</c:v>
                </c:pt>
                <c:pt idx="51">
                  <c:v>97.656194554593213</c:v>
                </c:pt>
                <c:pt idx="52">
                  <c:v>97.037866465060986</c:v>
                </c:pt>
                <c:pt idx="53">
                  <c:v>99.742105980481242</c:v>
                </c:pt>
                <c:pt idx="54">
                  <c:v>98.917342880901273</c:v>
                </c:pt>
                <c:pt idx="55">
                  <c:v>97.517844286283264</c:v>
                </c:pt>
                <c:pt idx="56">
                  <c:v>99.362519323199479</c:v>
                </c:pt>
                <c:pt idx="57">
                  <c:v>100.94904835166794</c:v>
                </c:pt>
                <c:pt idx="58">
                  <c:v>100.29238449278955</c:v>
                </c:pt>
                <c:pt idx="59">
                  <c:v>101.40024478553181</c:v>
                </c:pt>
                <c:pt idx="60">
                  <c:v>97.425114505091443</c:v>
                </c:pt>
                <c:pt idx="61">
                  <c:v>97.403173574599009</c:v>
                </c:pt>
                <c:pt idx="62">
                  <c:v>97.08601341636674</c:v>
                </c:pt>
                <c:pt idx="63">
                  <c:v>95.224789792503543</c:v>
                </c:pt>
                <c:pt idx="64">
                  <c:v>93.283745983107792</c:v>
                </c:pt>
                <c:pt idx="65">
                  <c:v>93.784285102901919</c:v>
                </c:pt>
                <c:pt idx="66">
                  <c:v>93.683089330073557</c:v>
                </c:pt>
                <c:pt idx="67">
                  <c:v>93.403012649190558</c:v>
                </c:pt>
                <c:pt idx="68">
                  <c:v>95.155436667475342</c:v>
                </c:pt>
                <c:pt idx="69">
                  <c:v>97.026710838322188</c:v>
                </c:pt>
                <c:pt idx="70">
                  <c:v>96.121223151369776</c:v>
                </c:pt>
                <c:pt idx="71">
                  <c:v>94.330213061966489</c:v>
                </c:pt>
                <c:pt idx="72">
                  <c:v>93.991470629378497</c:v>
                </c:pt>
                <c:pt idx="73">
                  <c:v>94.378825801865688</c:v>
                </c:pt>
                <c:pt idx="74">
                  <c:v>92.209072414103858</c:v>
                </c:pt>
                <c:pt idx="75">
                  <c:v>91.690167364450858</c:v>
                </c:pt>
                <c:pt idx="76">
                  <c:v>89.429473838527514</c:v>
                </c:pt>
                <c:pt idx="77">
                  <c:v>90.412577167041349</c:v>
                </c:pt>
                <c:pt idx="78">
                  <c:v>87.971575603290674</c:v>
                </c:pt>
                <c:pt idx="79">
                  <c:v>89.508426285983447</c:v>
                </c:pt>
                <c:pt idx="80">
                  <c:v>91.205324977284818</c:v>
                </c:pt>
                <c:pt idx="81">
                  <c:v>90.296642872420037</c:v>
                </c:pt>
                <c:pt idx="82">
                  <c:v>90.791843499828275</c:v>
                </c:pt>
                <c:pt idx="83">
                  <c:v>88.174675747617314</c:v>
                </c:pt>
                <c:pt idx="84">
                  <c:v>88.625989886327048</c:v>
                </c:pt>
                <c:pt idx="85">
                  <c:v>85.737496180013764</c:v>
                </c:pt>
                <c:pt idx="86">
                  <c:v>85.396773532449714</c:v>
                </c:pt>
                <c:pt idx="87">
                  <c:v>85.579490530504472</c:v>
                </c:pt>
                <c:pt idx="88">
                  <c:v>90.552367316914101</c:v>
                </c:pt>
                <c:pt idx="89">
                  <c:v>91.460753076340197</c:v>
                </c:pt>
                <c:pt idx="90">
                  <c:v>89.197853989812998</c:v>
                </c:pt>
                <c:pt idx="91">
                  <c:v>91.221659581845429</c:v>
                </c:pt>
                <c:pt idx="92">
                  <c:v>92.318100494640163</c:v>
                </c:pt>
                <c:pt idx="93">
                  <c:v>91.308322462042369</c:v>
                </c:pt>
                <c:pt idx="94">
                  <c:v>93.420327273173413</c:v>
                </c:pt>
                <c:pt idx="95">
                  <c:v>95.567362197935182</c:v>
                </c:pt>
                <c:pt idx="96">
                  <c:v>93.705454587879615</c:v>
                </c:pt>
                <c:pt idx="97">
                  <c:v>89.861435781508803</c:v>
                </c:pt>
                <c:pt idx="98">
                  <c:v>89.090149247704346</c:v>
                </c:pt>
                <c:pt idx="99">
                  <c:v>90.133373582647778</c:v>
                </c:pt>
                <c:pt idx="100">
                  <c:v>88.719374128590758</c:v>
                </c:pt>
                <c:pt idx="101">
                  <c:v>88.093014470571845</c:v>
                </c:pt>
                <c:pt idx="102">
                  <c:v>89.502632828372782</c:v>
                </c:pt>
                <c:pt idx="103">
                  <c:v>89.751128144516784</c:v>
                </c:pt>
                <c:pt idx="104">
                  <c:v>87.847892031848815</c:v>
                </c:pt>
                <c:pt idx="105">
                  <c:v>88.345724976875857</c:v>
                </c:pt>
                <c:pt idx="106">
                  <c:v>88.011349783080192</c:v>
                </c:pt>
                <c:pt idx="107">
                  <c:v>88.807511707183409</c:v>
                </c:pt>
                <c:pt idx="108">
                  <c:v>87.597765829741633</c:v>
                </c:pt>
                <c:pt idx="109">
                  <c:v>88.828173811228424</c:v>
                </c:pt>
                <c:pt idx="110">
                  <c:v>90.019761154419058</c:v>
                </c:pt>
                <c:pt idx="111">
                  <c:v>90.753406750768789</c:v>
                </c:pt>
                <c:pt idx="112">
                  <c:v>90.998452968260267</c:v>
                </c:pt>
                <c:pt idx="113">
                  <c:v>89.244547196796958</c:v>
                </c:pt>
                <c:pt idx="114">
                  <c:v>86.702551051633108</c:v>
                </c:pt>
                <c:pt idx="115">
                  <c:v>86.215870768059318</c:v>
                </c:pt>
                <c:pt idx="116">
                  <c:v>85.792388288475181</c:v>
                </c:pt>
                <c:pt idx="117">
                  <c:v>85.631611592469369</c:v>
                </c:pt>
                <c:pt idx="118">
                  <c:v>82.734710182080718</c:v>
                </c:pt>
                <c:pt idx="119">
                  <c:v>82.87053570094244</c:v>
                </c:pt>
                <c:pt idx="120">
                  <c:v>81.579915982034279</c:v>
                </c:pt>
                <c:pt idx="121">
                  <c:v>86.152000143023784</c:v>
                </c:pt>
                <c:pt idx="122">
                  <c:v>84.669042779269688</c:v>
                </c:pt>
                <c:pt idx="123">
                  <c:v>84.49945892658225</c:v>
                </c:pt>
                <c:pt idx="124">
                  <c:v>81.949477919001779</c:v>
                </c:pt>
                <c:pt idx="125">
                  <c:v>80.734554320195443</c:v>
                </c:pt>
                <c:pt idx="126">
                  <c:v>85.773503958727161</c:v>
                </c:pt>
                <c:pt idx="127">
                  <c:v>84.45067466666616</c:v>
                </c:pt>
                <c:pt idx="128">
                  <c:v>89.133947970047757</c:v>
                </c:pt>
                <c:pt idx="129">
                  <c:v>89.707684484054397</c:v>
                </c:pt>
                <c:pt idx="130">
                  <c:v>89.348972226340749</c:v>
                </c:pt>
                <c:pt idx="131">
                  <c:v>86.851071274754304</c:v>
                </c:pt>
                <c:pt idx="132">
                  <c:v>86.235142539161018</c:v>
                </c:pt>
                <c:pt idx="133">
                  <c:v>85.217416654595525</c:v>
                </c:pt>
                <c:pt idx="134">
                  <c:v>85.934210697047831</c:v>
                </c:pt>
                <c:pt idx="135">
                  <c:v>90.9957730411857</c:v>
                </c:pt>
                <c:pt idx="136">
                  <c:v>90.442211838127037</c:v>
                </c:pt>
                <c:pt idx="137">
                  <c:v>90.775172380102319</c:v>
                </c:pt>
                <c:pt idx="138">
                  <c:v>89.655306457559931</c:v>
                </c:pt>
                <c:pt idx="139">
                  <c:v>90.039036912281034</c:v>
                </c:pt>
                <c:pt idx="140">
                  <c:v>88.947357429636156</c:v>
                </c:pt>
                <c:pt idx="141">
                  <c:v>87.326446152911743</c:v>
                </c:pt>
                <c:pt idx="142">
                  <c:v>87.401698345328327</c:v>
                </c:pt>
                <c:pt idx="143">
                  <c:v>85.734724737360622</c:v>
                </c:pt>
                <c:pt idx="144">
                  <c:v>84.549896682022464</c:v>
                </c:pt>
                <c:pt idx="145">
                  <c:v>84.991549235066643</c:v>
                </c:pt>
                <c:pt idx="146">
                  <c:v>87.299913670541926</c:v>
                </c:pt>
                <c:pt idx="147">
                  <c:v>88.012243458188024</c:v>
                </c:pt>
                <c:pt idx="148">
                  <c:v>89.227939379032065</c:v>
                </c:pt>
                <c:pt idx="149">
                  <c:v>88.165916946031729</c:v>
                </c:pt>
                <c:pt idx="150">
                  <c:v>87.266314853015757</c:v>
                </c:pt>
                <c:pt idx="151">
                  <c:v>87.697692576882659</c:v>
                </c:pt>
                <c:pt idx="152">
                  <c:v>89.880071327162938</c:v>
                </c:pt>
                <c:pt idx="153">
                  <c:v>90.413619601378713</c:v>
                </c:pt>
                <c:pt idx="154">
                  <c:v>90.577029880960865</c:v>
                </c:pt>
                <c:pt idx="155">
                  <c:v>90.697536739179839</c:v>
                </c:pt>
                <c:pt idx="156">
                  <c:v>89.992013355287966</c:v>
                </c:pt>
                <c:pt idx="157">
                  <c:v>92.95586728509663</c:v>
                </c:pt>
                <c:pt idx="158">
                  <c:v>93.251670584273896</c:v>
                </c:pt>
                <c:pt idx="159">
                  <c:v>92.118670746905508</c:v>
                </c:pt>
                <c:pt idx="160">
                  <c:v>92.311199419727927</c:v>
                </c:pt>
                <c:pt idx="161">
                  <c:v>90.157065426365122</c:v>
                </c:pt>
                <c:pt idx="162">
                  <c:v>89.270877071290641</c:v>
                </c:pt>
                <c:pt idx="163">
                  <c:v>88.611860327295702</c:v>
                </c:pt>
                <c:pt idx="164">
                  <c:v>90.016748990869019</c:v>
                </c:pt>
                <c:pt idx="165">
                  <c:v>89.233112090459372</c:v>
                </c:pt>
                <c:pt idx="166">
                  <c:v>90.095274196416469</c:v>
                </c:pt>
                <c:pt idx="167">
                  <c:v>90.939940606533042</c:v>
                </c:pt>
                <c:pt idx="168">
                  <c:v>90.271461101212722</c:v>
                </c:pt>
                <c:pt idx="169">
                  <c:v>90.131905602796849</c:v>
                </c:pt>
                <c:pt idx="170">
                  <c:v>88.061449965996616</c:v>
                </c:pt>
                <c:pt idx="171">
                  <c:v>85.751337602341749</c:v>
                </c:pt>
                <c:pt idx="172">
                  <c:v>86.515974842495837</c:v>
                </c:pt>
                <c:pt idx="173">
                  <c:v>85.040594545360918</c:v>
                </c:pt>
                <c:pt idx="174">
                  <c:v>86.372494707505197</c:v>
                </c:pt>
                <c:pt idx="175">
                  <c:v>86.389890926245954</c:v>
                </c:pt>
                <c:pt idx="176">
                  <c:v>87.646050662160675</c:v>
                </c:pt>
                <c:pt idx="177">
                  <c:v>86.858653143393013</c:v>
                </c:pt>
                <c:pt idx="178">
                  <c:v>85.448145546729052</c:v>
                </c:pt>
                <c:pt idx="179">
                  <c:v>85.483892866800119</c:v>
                </c:pt>
                <c:pt idx="180">
                  <c:v>85.185710399487348</c:v>
                </c:pt>
                <c:pt idx="181">
                  <c:v>86.387825208291801</c:v>
                </c:pt>
                <c:pt idx="182">
                  <c:v>82.216416363803177</c:v>
                </c:pt>
                <c:pt idx="183">
                  <c:v>81.335774746592989</c:v>
                </c:pt>
                <c:pt idx="184">
                  <c:v>81.297455567846526</c:v>
                </c:pt>
                <c:pt idx="185">
                  <c:v>78.903496584023699</c:v>
                </c:pt>
                <c:pt idx="186">
                  <c:v>79.554528693404379</c:v>
                </c:pt>
                <c:pt idx="187">
                  <c:v>80.753828888383978</c:v>
                </c:pt>
                <c:pt idx="188">
                  <c:v>81.009655188715456</c:v>
                </c:pt>
                <c:pt idx="189">
                  <c:v>79.393925455650844</c:v>
                </c:pt>
                <c:pt idx="190">
                  <c:v>78.081934735340937</c:v>
                </c:pt>
                <c:pt idx="191">
                  <c:v>78.696591232920397</c:v>
                </c:pt>
                <c:pt idx="192">
                  <c:v>76.462977871003758</c:v>
                </c:pt>
                <c:pt idx="193">
                  <c:v>74.766550538083678</c:v>
                </c:pt>
                <c:pt idx="194">
                  <c:v>75.209195106636358</c:v>
                </c:pt>
                <c:pt idx="195">
                  <c:v>76.384710186656179</c:v>
                </c:pt>
                <c:pt idx="196">
                  <c:v>73.19501232241717</c:v>
                </c:pt>
                <c:pt idx="197">
                  <c:v>71.933808861531588</c:v>
                </c:pt>
                <c:pt idx="198">
                  <c:v>71.220902756817551</c:v>
                </c:pt>
                <c:pt idx="199">
                  <c:v>71.462443818169689</c:v>
                </c:pt>
                <c:pt idx="200">
                  <c:v>70.589450170517679</c:v>
                </c:pt>
                <c:pt idx="201">
                  <c:v>70.651302520379019</c:v>
                </c:pt>
                <c:pt idx="202">
                  <c:v>69.437996065911449</c:v>
                </c:pt>
                <c:pt idx="203">
                  <c:v>72.682315635411058</c:v>
                </c:pt>
                <c:pt idx="204">
                  <c:v>69.936832377241458</c:v>
                </c:pt>
                <c:pt idx="205">
                  <c:v>70.122981918640065</c:v>
                </c:pt>
                <c:pt idx="206">
                  <c:v>68.734148580450409</c:v>
                </c:pt>
                <c:pt idx="207">
                  <c:v>66.38332282087201</c:v>
                </c:pt>
                <c:pt idx="208">
                  <c:v>64.919322603846567</c:v>
                </c:pt>
                <c:pt idx="209">
                  <c:v>69.96010012161689</c:v>
                </c:pt>
                <c:pt idx="210">
                  <c:v>72.719042287442477</c:v>
                </c:pt>
                <c:pt idx="211">
                  <c:v>73.232930150241515</c:v>
                </c:pt>
                <c:pt idx="212">
                  <c:v>72.915543667560797</c:v>
                </c:pt>
                <c:pt idx="213">
                  <c:v>76.693370142166017</c:v>
                </c:pt>
                <c:pt idx="214">
                  <c:v>78.497348502638218</c:v>
                </c:pt>
                <c:pt idx="215">
                  <c:v>74.238306730727658</c:v>
                </c:pt>
                <c:pt idx="216">
                  <c:v>74.134612257149314</c:v>
                </c:pt>
                <c:pt idx="217">
                  <c:v>71.594743397904139</c:v>
                </c:pt>
                <c:pt idx="218">
                  <c:v>75.094933243309271</c:v>
                </c:pt>
                <c:pt idx="219">
                  <c:v>76.327172546992699</c:v>
                </c:pt>
                <c:pt idx="220">
                  <c:v>75.394452169489369</c:v>
                </c:pt>
                <c:pt idx="221">
                  <c:v>75.389249806707383</c:v>
                </c:pt>
                <c:pt idx="222">
                  <c:v>74.886586915525058</c:v>
                </c:pt>
                <c:pt idx="223">
                  <c:v>77.941827276835127</c:v>
                </c:pt>
                <c:pt idx="224">
                  <c:v>77.19121561798471</c:v>
                </c:pt>
                <c:pt idx="225">
                  <c:v>74.690210450118727</c:v>
                </c:pt>
                <c:pt idx="226">
                  <c:v>76.883577358134389</c:v>
                </c:pt>
                <c:pt idx="227">
                  <c:v>77.872193247769559</c:v>
                </c:pt>
                <c:pt idx="228">
                  <c:v>75.400514402451549</c:v>
                </c:pt>
                <c:pt idx="229">
                  <c:v>73.871449435144001</c:v>
                </c:pt>
                <c:pt idx="230">
                  <c:v>75.058971604233548</c:v>
                </c:pt>
                <c:pt idx="231">
                  <c:v>75.485295453029309</c:v>
                </c:pt>
                <c:pt idx="232">
                  <c:v>73.64995944123784</c:v>
                </c:pt>
                <c:pt idx="233">
                  <c:v>71.600166213188913</c:v>
                </c:pt>
                <c:pt idx="234">
                  <c:v>71.853353934460458</c:v>
                </c:pt>
                <c:pt idx="235">
                  <c:v>71.155179587584996</c:v>
                </c:pt>
                <c:pt idx="236">
                  <c:v>72.914335359610405</c:v>
                </c:pt>
                <c:pt idx="237">
                  <c:v>71.259134862422059</c:v>
                </c:pt>
                <c:pt idx="238">
                  <c:v>71.497376597192456</c:v>
                </c:pt>
                <c:pt idx="239">
                  <c:v>72.478399777479837</c:v>
                </c:pt>
                <c:pt idx="240">
                  <c:v>74.722563349553269</c:v>
                </c:pt>
                <c:pt idx="241">
                  <c:v>74.184281205076246</c:v>
                </c:pt>
                <c:pt idx="242">
                  <c:v>75.146124692634345</c:v>
                </c:pt>
                <c:pt idx="243">
                  <c:v>76.285584429701061</c:v>
                </c:pt>
                <c:pt idx="244">
                  <c:v>73.341287297054649</c:v>
                </c:pt>
                <c:pt idx="245">
                  <c:v>74.409419725971659</c:v>
                </c:pt>
                <c:pt idx="246">
                  <c:v>78.482326421605507</c:v>
                </c:pt>
                <c:pt idx="247">
                  <c:v>75.556434878138319</c:v>
                </c:pt>
                <c:pt idx="248">
                  <c:v>75.689987292349599</c:v>
                </c:pt>
                <c:pt idx="249">
                  <c:v>76.268622746774042</c:v>
                </c:pt>
                <c:pt idx="250">
                  <c:v>76.043295325385827</c:v>
                </c:pt>
                <c:pt idx="251">
                  <c:v>70.350731176723187</c:v>
                </c:pt>
                <c:pt idx="252">
                  <c:v>72.118212993191449</c:v>
                </c:pt>
                <c:pt idx="253">
                  <c:v>64.87465469848334</c:v>
                </c:pt>
                <c:pt idx="254">
                  <c:v>71.916972143774458</c:v>
                </c:pt>
              </c:numCache>
            </c:numRef>
          </c:val>
          <c:smooth val="0"/>
        </c:ser>
        <c:ser>
          <c:idx val="1"/>
          <c:order val="1"/>
          <c:tx>
            <c:strRef>
              <c:f>'Fig 4'!$E$2</c:f>
              <c:strCache>
                <c:ptCount val="1"/>
                <c:pt idx="0">
                  <c:v>Actual</c:v>
                </c:pt>
              </c:strCache>
            </c:strRef>
          </c:tx>
          <c:spPr>
            <a:ln>
              <a:prstDash val="sysDash"/>
            </a:ln>
          </c:spPr>
          <c:marker>
            <c:symbol val="none"/>
          </c:marker>
          <c:cat>
            <c:numRef>
              <c:f>'Fig 4'!$A$4:$A$257</c:f>
              <c:numCache>
                <c:formatCode>mm/dd/yy</c:formatCode>
                <c:ptCount val="254"/>
                <c:pt idx="0">
                  <c:v>39343</c:v>
                </c:pt>
                <c:pt idx="1">
                  <c:v>39344</c:v>
                </c:pt>
                <c:pt idx="2">
                  <c:v>39345</c:v>
                </c:pt>
                <c:pt idx="3">
                  <c:v>39346</c:v>
                </c:pt>
                <c:pt idx="4">
                  <c:v>39349</c:v>
                </c:pt>
                <c:pt idx="5">
                  <c:v>39350</c:v>
                </c:pt>
                <c:pt idx="6">
                  <c:v>39351</c:v>
                </c:pt>
                <c:pt idx="7">
                  <c:v>39352</c:v>
                </c:pt>
                <c:pt idx="8">
                  <c:v>39353</c:v>
                </c:pt>
                <c:pt idx="9">
                  <c:v>39356</c:v>
                </c:pt>
                <c:pt idx="10">
                  <c:v>39357</c:v>
                </c:pt>
                <c:pt idx="11">
                  <c:v>39358</c:v>
                </c:pt>
                <c:pt idx="12">
                  <c:v>39359</c:v>
                </c:pt>
                <c:pt idx="13">
                  <c:v>39360</c:v>
                </c:pt>
                <c:pt idx="14">
                  <c:v>39363</c:v>
                </c:pt>
                <c:pt idx="15">
                  <c:v>39364</c:v>
                </c:pt>
                <c:pt idx="16">
                  <c:v>39365</c:v>
                </c:pt>
                <c:pt idx="17">
                  <c:v>39366</c:v>
                </c:pt>
                <c:pt idx="18">
                  <c:v>39367</c:v>
                </c:pt>
                <c:pt idx="19">
                  <c:v>39370</c:v>
                </c:pt>
                <c:pt idx="20">
                  <c:v>39371</c:v>
                </c:pt>
                <c:pt idx="21">
                  <c:v>39372</c:v>
                </c:pt>
                <c:pt idx="22">
                  <c:v>39373</c:v>
                </c:pt>
                <c:pt idx="23">
                  <c:v>39374</c:v>
                </c:pt>
                <c:pt idx="24">
                  <c:v>39377</c:v>
                </c:pt>
                <c:pt idx="25">
                  <c:v>39378</c:v>
                </c:pt>
                <c:pt idx="26">
                  <c:v>39379</c:v>
                </c:pt>
                <c:pt idx="27">
                  <c:v>39380</c:v>
                </c:pt>
                <c:pt idx="28">
                  <c:v>39381</c:v>
                </c:pt>
                <c:pt idx="29">
                  <c:v>39384</c:v>
                </c:pt>
                <c:pt idx="30">
                  <c:v>39385</c:v>
                </c:pt>
                <c:pt idx="31">
                  <c:v>39386</c:v>
                </c:pt>
                <c:pt idx="32">
                  <c:v>39387</c:v>
                </c:pt>
                <c:pt idx="33">
                  <c:v>39388</c:v>
                </c:pt>
                <c:pt idx="34">
                  <c:v>39391</c:v>
                </c:pt>
                <c:pt idx="35">
                  <c:v>39392</c:v>
                </c:pt>
                <c:pt idx="36">
                  <c:v>39393</c:v>
                </c:pt>
                <c:pt idx="37">
                  <c:v>39394</c:v>
                </c:pt>
                <c:pt idx="38">
                  <c:v>39395</c:v>
                </c:pt>
                <c:pt idx="39">
                  <c:v>39398</c:v>
                </c:pt>
                <c:pt idx="40">
                  <c:v>39399</c:v>
                </c:pt>
                <c:pt idx="41">
                  <c:v>39400</c:v>
                </c:pt>
                <c:pt idx="42">
                  <c:v>39401</c:v>
                </c:pt>
                <c:pt idx="43">
                  <c:v>39402</c:v>
                </c:pt>
                <c:pt idx="44">
                  <c:v>39405</c:v>
                </c:pt>
                <c:pt idx="45">
                  <c:v>39406</c:v>
                </c:pt>
                <c:pt idx="46">
                  <c:v>39407</c:v>
                </c:pt>
                <c:pt idx="47">
                  <c:v>39409</c:v>
                </c:pt>
                <c:pt idx="48">
                  <c:v>39412</c:v>
                </c:pt>
                <c:pt idx="49">
                  <c:v>39413</c:v>
                </c:pt>
                <c:pt idx="50">
                  <c:v>39414</c:v>
                </c:pt>
                <c:pt idx="51">
                  <c:v>39415</c:v>
                </c:pt>
                <c:pt idx="52">
                  <c:v>39416</c:v>
                </c:pt>
                <c:pt idx="53">
                  <c:v>39419</c:v>
                </c:pt>
                <c:pt idx="54">
                  <c:v>39420</c:v>
                </c:pt>
                <c:pt idx="55">
                  <c:v>39421</c:v>
                </c:pt>
                <c:pt idx="56">
                  <c:v>39422</c:v>
                </c:pt>
                <c:pt idx="57">
                  <c:v>39423</c:v>
                </c:pt>
                <c:pt idx="58">
                  <c:v>39426</c:v>
                </c:pt>
                <c:pt idx="59">
                  <c:v>39427</c:v>
                </c:pt>
                <c:pt idx="60">
                  <c:v>39428</c:v>
                </c:pt>
                <c:pt idx="61">
                  <c:v>39429</c:v>
                </c:pt>
                <c:pt idx="62">
                  <c:v>39430</c:v>
                </c:pt>
                <c:pt idx="63">
                  <c:v>39433</c:v>
                </c:pt>
                <c:pt idx="64">
                  <c:v>39434</c:v>
                </c:pt>
                <c:pt idx="65">
                  <c:v>39435</c:v>
                </c:pt>
                <c:pt idx="66">
                  <c:v>39436</c:v>
                </c:pt>
                <c:pt idx="67">
                  <c:v>39437</c:v>
                </c:pt>
                <c:pt idx="68">
                  <c:v>39440</c:v>
                </c:pt>
                <c:pt idx="69">
                  <c:v>39442</c:v>
                </c:pt>
                <c:pt idx="70">
                  <c:v>39443</c:v>
                </c:pt>
                <c:pt idx="71">
                  <c:v>39444</c:v>
                </c:pt>
                <c:pt idx="72">
                  <c:v>39447</c:v>
                </c:pt>
                <c:pt idx="73">
                  <c:v>39449</c:v>
                </c:pt>
                <c:pt idx="74">
                  <c:v>39450</c:v>
                </c:pt>
                <c:pt idx="75">
                  <c:v>39451</c:v>
                </c:pt>
                <c:pt idx="76">
                  <c:v>39454</c:v>
                </c:pt>
                <c:pt idx="77">
                  <c:v>39455</c:v>
                </c:pt>
                <c:pt idx="78">
                  <c:v>39456</c:v>
                </c:pt>
                <c:pt idx="79">
                  <c:v>39457</c:v>
                </c:pt>
                <c:pt idx="80">
                  <c:v>39458</c:v>
                </c:pt>
                <c:pt idx="81">
                  <c:v>39461</c:v>
                </c:pt>
                <c:pt idx="82">
                  <c:v>39462</c:v>
                </c:pt>
                <c:pt idx="83">
                  <c:v>39463</c:v>
                </c:pt>
                <c:pt idx="84">
                  <c:v>39464</c:v>
                </c:pt>
                <c:pt idx="85">
                  <c:v>39465</c:v>
                </c:pt>
                <c:pt idx="86">
                  <c:v>39469</c:v>
                </c:pt>
                <c:pt idx="87">
                  <c:v>39470</c:v>
                </c:pt>
                <c:pt idx="88">
                  <c:v>39471</c:v>
                </c:pt>
                <c:pt idx="89">
                  <c:v>39472</c:v>
                </c:pt>
                <c:pt idx="90">
                  <c:v>39475</c:v>
                </c:pt>
                <c:pt idx="91">
                  <c:v>39476</c:v>
                </c:pt>
                <c:pt idx="92">
                  <c:v>39477</c:v>
                </c:pt>
                <c:pt idx="93">
                  <c:v>39478</c:v>
                </c:pt>
                <c:pt idx="94">
                  <c:v>39479</c:v>
                </c:pt>
                <c:pt idx="95">
                  <c:v>39482</c:v>
                </c:pt>
                <c:pt idx="96">
                  <c:v>39483</c:v>
                </c:pt>
                <c:pt idx="97">
                  <c:v>39484</c:v>
                </c:pt>
                <c:pt idx="98">
                  <c:v>39485</c:v>
                </c:pt>
                <c:pt idx="99">
                  <c:v>39486</c:v>
                </c:pt>
                <c:pt idx="100">
                  <c:v>39489</c:v>
                </c:pt>
                <c:pt idx="101">
                  <c:v>39490</c:v>
                </c:pt>
                <c:pt idx="102">
                  <c:v>39491</c:v>
                </c:pt>
                <c:pt idx="103">
                  <c:v>39492</c:v>
                </c:pt>
                <c:pt idx="104">
                  <c:v>39493</c:v>
                </c:pt>
                <c:pt idx="105">
                  <c:v>39497</c:v>
                </c:pt>
                <c:pt idx="106">
                  <c:v>39498</c:v>
                </c:pt>
                <c:pt idx="107">
                  <c:v>39499</c:v>
                </c:pt>
                <c:pt idx="108">
                  <c:v>39500</c:v>
                </c:pt>
                <c:pt idx="109">
                  <c:v>39503</c:v>
                </c:pt>
                <c:pt idx="110">
                  <c:v>39504</c:v>
                </c:pt>
                <c:pt idx="111">
                  <c:v>39505</c:v>
                </c:pt>
                <c:pt idx="112">
                  <c:v>39506</c:v>
                </c:pt>
                <c:pt idx="113">
                  <c:v>39507</c:v>
                </c:pt>
                <c:pt idx="114">
                  <c:v>39510</c:v>
                </c:pt>
                <c:pt idx="115">
                  <c:v>39511</c:v>
                </c:pt>
                <c:pt idx="116">
                  <c:v>39512</c:v>
                </c:pt>
                <c:pt idx="117">
                  <c:v>39513</c:v>
                </c:pt>
                <c:pt idx="118">
                  <c:v>39514</c:v>
                </c:pt>
                <c:pt idx="119">
                  <c:v>39517</c:v>
                </c:pt>
                <c:pt idx="120">
                  <c:v>39518</c:v>
                </c:pt>
                <c:pt idx="121">
                  <c:v>39519</c:v>
                </c:pt>
                <c:pt idx="122">
                  <c:v>39520</c:v>
                </c:pt>
                <c:pt idx="123">
                  <c:v>39521</c:v>
                </c:pt>
                <c:pt idx="124">
                  <c:v>39524</c:v>
                </c:pt>
                <c:pt idx="125">
                  <c:v>39525</c:v>
                </c:pt>
                <c:pt idx="126">
                  <c:v>39526</c:v>
                </c:pt>
                <c:pt idx="127">
                  <c:v>39527</c:v>
                </c:pt>
                <c:pt idx="128">
                  <c:v>39531</c:v>
                </c:pt>
                <c:pt idx="129">
                  <c:v>39532</c:v>
                </c:pt>
                <c:pt idx="130">
                  <c:v>39533</c:v>
                </c:pt>
                <c:pt idx="131">
                  <c:v>39534</c:v>
                </c:pt>
                <c:pt idx="132">
                  <c:v>39535</c:v>
                </c:pt>
                <c:pt idx="133">
                  <c:v>39538</c:v>
                </c:pt>
                <c:pt idx="134">
                  <c:v>39539</c:v>
                </c:pt>
                <c:pt idx="135">
                  <c:v>39540</c:v>
                </c:pt>
                <c:pt idx="136">
                  <c:v>39541</c:v>
                </c:pt>
                <c:pt idx="137">
                  <c:v>39542</c:v>
                </c:pt>
                <c:pt idx="138">
                  <c:v>39545</c:v>
                </c:pt>
                <c:pt idx="139">
                  <c:v>39546</c:v>
                </c:pt>
                <c:pt idx="140">
                  <c:v>39547</c:v>
                </c:pt>
                <c:pt idx="141">
                  <c:v>39548</c:v>
                </c:pt>
                <c:pt idx="142">
                  <c:v>39549</c:v>
                </c:pt>
                <c:pt idx="143">
                  <c:v>39552</c:v>
                </c:pt>
                <c:pt idx="144">
                  <c:v>39553</c:v>
                </c:pt>
                <c:pt idx="145">
                  <c:v>39554</c:v>
                </c:pt>
                <c:pt idx="146">
                  <c:v>39555</c:v>
                </c:pt>
                <c:pt idx="147">
                  <c:v>39556</c:v>
                </c:pt>
                <c:pt idx="148">
                  <c:v>39559</c:v>
                </c:pt>
                <c:pt idx="149">
                  <c:v>39560</c:v>
                </c:pt>
                <c:pt idx="150">
                  <c:v>39561</c:v>
                </c:pt>
                <c:pt idx="151">
                  <c:v>39562</c:v>
                </c:pt>
                <c:pt idx="152">
                  <c:v>39563</c:v>
                </c:pt>
                <c:pt idx="153">
                  <c:v>39566</c:v>
                </c:pt>
                <c:pt idx="154">
                  <c:v>39567</c:v>
                </c:pt>
                <c:pt idx="155">
                  <c:v>39568</c:v>
                </c:pt>
                <c:pt idx="156">
                  <c:v>39569</c:v>
                </c:pt>
                <c:pt idx="157">
                  <c:v>39570</c:v>
                </c:pt>
                <c:pt idx="158">
                  <c:v>39573</c:v>
                </c:pt>
                <c:pt idx="159">
                  <c:v>39574</c:v>
                </c:pt>
                <c:pt idx="160">
                  <c:v>39575</c:v>
                </c:pt>
                <c:pt idx="161">
                  <c:v>39576</c:v>
                </c:pt>
                <c:pt idx="162">
                  <c:v>39577</c:v>
                </c:pt>
                <c:pt idx="163">
                  <c:v>39580</c:v>
                </c:pt>
                <c:pt idx="164">
                  <c:v>39581</c:v>
                </c:pt>
                <c:pt idx="165">
                  <c:v>39582</c:v>
                </c:pt>
                <c:pt idx="166">
                  <c:v>39583</c:v>
                </c:pt>
                <c:pt idx="167">
                  <c:v>39584</c:v>
                </c:pt>
                <c:pt idx="168">
                  <c:v>39587</c:v>
                </c:pt>
                <c:pt idx="169">
                  <c:v>39588</c:v>
                </c:pt>
                <c:pt idx="170">
                  <c:v>39589</c:v>
                </c:pt>
                <c:pt idx="171">
                  <c:v>39590</c:v>
                </c:pt>
                <c:pt idx="172">
                  <c:v>39591</c:v>
                </c:pt>
                <c:pt idx="173">
                  <c:v>39595</c:v>
                </c:pt>
                <c:pt idx="174">
                  <c:v>39596</c:v>
                </c:pt>
                <c:pt idx="175">
                  <c:v>39597</c:v>
                </c:pt>
                <c:pt idx="176">
                  <c:v>39598</c:v>
                </c:pt>
                <c:pt idx="177">
                  <c:v>39601</c:v>
                </c:pt>
                <c:pt idx="178">
                  <c:v>39602</c:v>
                </c:pt>
                <c:pt idx="179">
                  <c:v>39603</c:v>
                </c:pt>
                <c:pt idx="180">
                  <c:v>39604</c:v>
                </c:pt>
                <c:pt idx="181">
                  <c:v>39605</c:v>
                </c:pt>
                <c:pt idx="182">
                  <c:v>39608</c:v>
                </c:pt>
                <c:pt idx="183">
                  <c:v>39609</c:v>
                </c:pt>
                <c:pt idx="184">
                  <c:v>39610</c:v>
                </c:pt>
                <c:pt idx="185">
                  <c:v>39611</c:v>
                </c:pt>
                <c:pt idx="186">
                  <c:v>39612</c:v>
                </c:pt>
                <c:pt idx="187">
                  <c:v>39615</c:v>
                </c:pt>
                <c:pt idx="188">
                  <c:v>39616</c:v>
                </c:pt>
                <c:pt idx="189">
                  <c:v>39617</c:v>
                </c:pt>
                <c:pt idx="190">
                  <c:v>39618</c:v>
                </c:pt>
                <c:pt idx="191">
                  <c:v>39619</c:v>
                </c:pt>
                <c:pt idx="192">
                  <c:v>39622</c:v>
                </c:pt>
                <c:pt idx="193">
                  <c:v>39623</c:v>
                </c:pt>
                <c:pt idx="194">
                  <c:v>39624</c:v>
                </c:pt>
                <c:pt idx="195">
                  <c:v>39625</c:v>
                </c:pt>
                <c:pt idx="196">
                  <c:v>39626</c:v>
                </c:pt>
                <c:pt idx="197">
                  <c:v>39629</c:v>
                </c:pt>
                <c:pt idx="198">
                  <c:v>39630</c:v>
                </c:pt>
                <c:pt idx="199">
                  <c:v>39631</c:v>
                </c:pt>
                <c:pt idx="200">
                  <c:v>39632</c:v>
                </c:pt>
                <c:pt idx="201">
                  <c:v>39636</c:v>
                </c:pt>
                <c:pt idx="202">
                  <c:v>39637</c:v>
                </c:pt>
                <c:pt idx="203">
                  <c:v>39638</c:v>
                </c:pt>
                <c:pt idx="204">
                  <c:v>39639</c:v>
                </c:pt>
                <c:pt idx="205">
                  <c:v>39640</c:v>
                </c:pt>
                <c:pt idx="206">
                  <c:v>39643</c:v>
                </c:pt>
                <c:pt idx="207">
                  <c:v>39644</c:v>
                </c:pt>
                <c:pt idx="208">
                  <c:v>39645</c:v>
                </c:pt>
                <c:pt idx="209">
                  <c:v>39646</c:v>
                </c:pt>
                <c:pt idx="210">
                  <c:v>39647</c:v>
                </c:pt>
                <c:pt idx="211">
                  <c:v>39650</c:v>
                </c:pt>
                <c:pt idx="212">
                  <c:v>39651</c:v>
                </c:pt>
                <c:pt idx="213">
                  <c:v>39652</c:v>
                </c:pt>
                <c:pt idx="214">
                  <c:v>39653</c:v>
                </c:pt>
                <c:pt idx="215">
                  <c:v>39654</c:v>
                </c:pt>
                <c:pt idx="216">
                  <c:v>39657</c:v>
                </c:pt>
                <c:pt idx="217">
                  <c:v>39658</c:v>
                </c:pt>
                <c:pt idx="218">
                  <c:v>39659</c:v>
                </c:pt>
                <c:pt idx="219">
                  <c:v>39660</c:v>
                </c:pt>
                <c:pt idx="220">
                  <c:v>39661</c:v>
                </c:pt>
                <c:pt idx="221">
                  <c:v>39664</c:v>
                </c:pt>
                <c:pt idx="222">
                  <c:v>39665</c:v>
                </c:pt>
                <c:pt idx="223">
                  <c:v>39666</c:v>
                </c:pt>
                <c:pt idx="224">
                  <c:v>39667</c:v>
                </c:pt>
                <c:pt idx="225">
                  <c:v>39668</c:v>
                </c:pt>
                <c:pt idx="226">
                  <c:v>39671</c:v>
                </c:pt>
                <c:pt idx="227">
                  <c:v>39672</c:v>
                </c:pt>
                <c:pt idx="228">
                  <c:v>39673</c:v>
                </c:pt>
                <c:pt idx="229">
                  <c:v>39674</c:v>
                </c:pt>
                <c:pt idx="230">
                  <c:v>39675</c:v>
                </c:pt>
                <c:pt idx="231">
                  <c:v>39678</c:v>
                </c:pt>
                <c:pt idx="232">
                  <c:v>39679</c:v>
                </c:pt>
                <c:pt idx="233">
                  <c:v>39680</c:v>
                </c:pt>
                <c:pt idx="234">
                  <c:v>39681</c:v>
                </c:pt>
                <c:pt idx="235">
                  <c:v>39682</c:v>
                </c:pt>
                <c:pt idx="236">
                  <c:v>39685</c:v>
                </c:pt>
                <c:pt idx="237">
                  <c:v>39686</c:v>
                </c:pt>
                <c:pt idx="238">
                  <c:v>39687</c:v>
                </c:pt>
                <c:pt idx="239">
                  <c:v>39688</c:v>
                </c:pt>
                <c:pt idx="240">
                  <c:v>39689</c:v>
                </c:pt>
                <c:pt idx="241">
                  <c:v>39693</c:v>
                </c:pt>
                <c:pt idx="242">
                  <c:v>39694</c:v>
                </c:pt>
                <c:pt idx="243">
                  <c:v>39695</c:v>
                </c:pt>
                <c:pt idx="244">
                  <c:v>39696</c:v>
                </c:pt>
                <c:pt idx="245">
                  <c:v>39699</c:v>
                </c:pt>
                <c:pt idx="246">
                  <c:v>39700</c:v>
                </c:pt>
                <c:pt idx="247">
                  <c:v>39701</c:v>
                </c:pt>
                <c:pt idx="248">
                  <c:v>39702</c:v>
                </c:pt>
                <c:pt idx="249">
                  <c:v>39703</c:v>
                </c:pt>
                <c:pt idx="250">
                  <c:v>39706</c:v>
                </c:pt>
                <c:pt idx="251">
                  <c:v>39707</c:v>
                </c:pt>
                <c:pt idx="252">
                  <c:v>39708</c:v>
                </c:pt>
                <c:pt idx="253">
                  <c:v>39709</c:v>
                </c:pt>
              </c:numCache>
            </c:numRef>
          </c:cat>
          <c:val>
            <c:numRef>
              <c:f>'Fig 4'!$E$3:$E$257</c:f>
              <c:numCache>
                <c:formatCode>General</c:formatCode>
                <c:ptCount val="255"/>
                <c:pt idx="0">
                  <c:v>100</c:v>
                </c:pt>
                <c:pt idx="1">
                  <c:v>103.86957599986712</c:v>
                </c:pt>
                <c:pt idx="2">
                  <c:v>104.39155571381842</c:v>
                </c:pt>
                <c:pt idx="3">
                  <c:v>103.14169191563306</c:v>
                </c:pt>
                <c:pt idx="4">
                  <c:v>103.40098729593998</c:v>
                </c:pt>
                <c:pt idx="5">
                  <c:v>102.3356255420846</c:v>
                </c:pt>
                <c:pt idx="6">
                  <c:v>102.31792564017739</c:v>
                </c:pt>
                <c:pt idx="7">
                  <c:v>102.93690387017942</c:v>
                </c:pt>
                <c:pt idx="8">
                  <c:v>103.72017281327062</c:v>
                </c:pt>
                <c:pt idx="9">
                  <c:v>103.41297938736572</c:v>
                </c:pt>
                <c:pt idx="10">
                  <c:v>105.13506033496724</c:v>
                </c:pt>
                <c:pt idx="11">
                  <c:v>105.82181554627678</c:v>
                </c:pt>
                <c:pt idx="12">
                  <c:v>105.5856542554108</c:v>
                </c:pt>
                <c:pt idx="13">
                  <c:v>105.90962930953982</c:v>
                </c:pt>
                <c:pt idx="14">
                  <c:v>107.08946347785556</c:v>
                </c:pt>
                <c:pt idx="15">
                  <c:v>106.56452768656423</c:v>
                </c:pt>
                <c:pt idx="16">
                  <c:v>107.37422628732072</c:v>
                </c:pt>
                <c:pt idx="17">
                  <c:v>106.66622233875248</c:v>
                </c:pt>
                <c:pt idx="18">
                  <c:v>106.30049730249192</c:v>
                </c:pt>
                <c:pt idx="19">
                  <c:v>106.39102260480676</c:v>
                </c:pt>
                <c:pt idx="20">
                  <c:v>104.86266489568575</c:v>
                </c:pt>
                <c:pt idx="21">
                  <c:v>103.36551316755455</c:v>
                </c:pt>
                <c:pt idx="22">
                  <c:v>103.40791147211624</c:v>
                </c:pt>
                <c:pt idx="23">
                  <c:v>102.67482637684952</c:v>
                </c:pt>
                <c:pt idx="24">
                  <c:v>100.08195162471102</c:v>
                </c:pt>
                <c:pt idx="25">
                  <c:v>100.85146571760328</c:v>
                </c:pt>
                <c:pt idx="26">
                  <c:v>101.68266424512532</c:v>
                </c:pt>
                <c:pt idx="27">
                  <c:v>100.77495487541827</c:v>
                </c:pt>
                <c:pt idx="28">
                  <c:v>100.45150145749061</c:v>
                </c:pt>
                <c:pt idx="29">
                  <c:v>102.37315418123616</c:v>
                </c:pt>
                <c:pt idx="30">
                  <c:v>102.64222698226602</c:v>
                </c:pt>
                <c:pt idx="31">
                  <c:v>102.34237533237342</c:v>
                </c:pt>
                <c:pt idx="32">
                  <c:v>103.50358048563072</c:v>
                </c:pt>
                <c:pt idx="33">
                  <c:v>99.555528964142397</c:v>
                </c:pt>
                <c:pt idx="34">
                  <c:v>98.740788634856486</c:v>
                </c:pt>
                <c:pt idx="35">
                  <c:v>97.587947311042143</c:v>
                </c:pt>
                <c:pt idx="36">
                  <c:v>98.93367197641065</c:v>
                </c:pt>
                <c:pt idx="37">
                  <c:v>94.919208255967519</c:v>
                </c:pt>
                <c:pt idx="38">
                  <c:v>95.274651359512006</c:v>
                </c:pt>
                <c:pt idx="39">
                  <c:v>94.674173695058315</c:v>
                </c:pt>
                <c:pt idx="40">
                  <c:v>94.633237457500556</c:v>
                </c:pt>
                <c:pt idx="41">
                  <c:v>98.326410908254488</c:v>
                </c:pt>
                <c:pt idx="42">
                  <c:v>97.711277328661268</c:v>
                </c:pt>
                <c:pt idx="43">
                  <c:v>95.233430917288118</c:v>
                </c:pt>
                <c:pt idx="44">
                  <c:v>95.033671686634449</c:v>
                </c:pt>
                <c:pt idx="45">
                  <c:v>92.641464518135464</c:v>
                </c:pt>
                <c:pt idx="46">
                  <c:v>92.123833760077503</c:v>
                </c:pt>
                <c:pt idx="47">
                  <c:v>90.271476347210282</c:v>
                </c:pt>
                <c:pt idx="48">
                  <c:v>92.471699129940859</c:v>
                </c:pt>
                <c:pt idx="49">
                  <c:v>89.5820362150439</c:v>
                </c:pt>
                <c:pt idx="50">
                  <c:v>91.694184577338305</c:v>
                </c:pt>
                <c:pt idx="51">
                  <c:v>95.579246013065188</c:v>
                </c:pt>
                <c:pt idx="52">
                  <c:v>94.883474785990884</c:v>
                </c:pt>
                <c:pt idx="53">
                  <c:v>96.665207082190719</c:v>
                </c:pt>
                <c:pt idx="54">
                  <c:v>95.578595208867554</c:v>
                </c:pt>
                <c:pt idx="55">
                  <c:v>94.105048154696732</c:v>
                </c:pt>
                <c:pt idx="56">
                  <c:v>95.64521227123376</c:v>
                </c:pt>
                <c:pt idx="57">
                  <c:v>97.593358365973614</c:v>
                </c:pt>
                <c:pt idx="58">
                  <c:v>97.014234721886467</c:v>
                </c:pt>
                <c:pt idx="59">
                  <c:v>98.472113324118027</c:v>
                </c:pt>
                <c:pt idx="60">
                  <c:v>94.792762653471371</c:v>
                </c:pt>
                <c:pt idx="61">
                  <c:v>94.517440084407596</c:v>
                </c:pt>
                <c:pt idx="62">
                  <c:v>94.221521627433503</c:v>
                </c:pt>
                <c:pt idx="63">
                  <c:v>92.668820908731618</c:v>
                </c:pt>
                <c:pt idx="64">
                  <c:v>91.7491533740737</c:v>
                </c:pt>
                <c:pt idx="65">
                  <c:v>92.191845176252784</c:v>
                </c:pt>
                <c:pt idx="66">
                  <c:v>92.108481811496119</c:v>
                </c:pt>
                <c:pt idx="67">
                  <c:v>91.932761986467469</c:v>
                </c:pt>
                <c:pt idx="68">
                  <c:v>93.657350833411684</c:v>
                </c:pt>
                <c:pt idx="69">
                  <c:v>94.907156650250727</c:v>
                </c:pt>
                <c:pt idx="70">
                  <c:v>94.709615587076527</c:v>
                </c:pt>
                <c:pt idx="71">
                  <c:v>93.054722482401758</c:v>
                </c:pt>
                <c:pt idx="72">
                  <c:v>92.966147730368746</c:v>
                </c:pt>
                <c:pt idx="73">
                  <c:v>93.027591421587474</c:v>
                </c:pt>
                <c:pt idx="74">
                  <c:v>91.210541731595782</c:v>
                </c:pt>
                <c:pt idx="75">
                  <c:v>90.852181344388427</c:v>
                </c:pt>
                <c:pt idx="76">
                  <c:v>88.543530960789468</c:v>
                </c:pt>
                <c:pt idx="77">
                  <c:v>88.976121288812834</c:v>
                </c:pt>
                <c:pt idx="78">
                  <c:v>86.495183911261222</c:v>
                </c:pt>
                <c:pt idx="79">
                  <c:v>87.629948989857056</c:v>
                </c:pt>
                <c:pt idx="80">
                  <c:v>89.116786977801226</c:v>
                </c:pt>
                <c:pt idx="81">
                  <c:v>88.292492915981498</c:v>
                </c:pt>
                <c:pt idx="82">
                  <c:v>89.093911064635691</c:v>
                </c:pt>
                <c:pt idx="83">
                  <c:v>86.387434222816879</c:v>
                </c:pt>
                <c:pt idx="84">
                  <c:v>87.030245394761138</c:v>
                </c:pt>
                <c:pt idx="85">
                  <c:v>83.668908651156059</c:v>
                </c:pt>
                <c:pt idx="86">
                  <c:v>82.977075983762873</c:v>
                </c:pt>
                <c:pt idx="87">
                  <c:v>83.624792683637949</c:v>
                </c:pt>
                <c:pt idx="88">
                  <c:v>87.561767950157062</c:v>
                </c:pt>
                <c:pt idx="89">
                  <c:v>88.231594759893696</c:v>
                </c:pt>
                <c:pt idx="90">
                  <c:v>86.297209478565819</c:v>
                </c:pt>
                <c:pt idx="91">
                  <c:v>88.628716913142057</c:v>
                </c:pt>
                <c:pt idx="92">
                  <c:v>89.714228595480733</c:v>
                </c:pt>
                <c:pt idx="93">
                  <c:v>89.05643060088137</c:v>
                </c:pt>
                <c:pt idx="94">
                  <c:v>90.854872646776059</c:v>
                </c:pt>
                <c:pt idx="95">
                  <c:v>92.611808780703015</c:v>
                </c:pt>
                <c:pt idx="96">
                  <c:v>90.680869918806181</c:v>
                </c:pt>
                <c:pt idx="97">
                  <c:v>87.190327019224526</c:v>
                </c:pt>
                <c:pt idx="98">
                  <c:v>86.57311774508895</c:v>
                </c:pt>
                <c:pt idx="99">
                  <c:v>87.498468083328831</c:v>
                </c:pt>
                <c:pt idx="100">
                  <c:v>86.098803326115515</c:v>
                </c:pt>
                <c:pt idx="101">
                  <c:v>85.259934847612087</c:v>
                </c:pt>
                <c:pt idx="102">
                  <c:v>86.227505702885182</c:v>
                </c:pt>
                <c:pt idx="103">
                  <c:v>87.007030509262222</c:v>
                </c:pt>
                <c:pt idx="104">
                  <c:v>85.284301105481447</c:v>
                </c:pt>
                <c:pt idx="105">
                  <c:v>85.560295236060441</c:v>
                </c:pt>
                <c:pt idx="106">
                  <c:v>85.119324737443918</c:v>
                </c:pt>
                <c:pt idx="107">
                  <c:v>86.234437275766084</c:v>
                </c:pt>
                <c:pt idx="108">
                  <c:v>85.172086845340985</c:v>
                </c:pt>
                <c:pt idx="109">
                  <c:v>86.002531053870428</c:v>
                </c:pt>
                <c:pt idx="110">
                  <c:v>87.077518314482319</c:v>
                </c:pt>
                <c:pt idx="111">
                  <c:v>87.68441679606137</c:v>
                </c:pt>
                <c:pt idx="112">
                  <c:v>88.278168053158495</c:v>
                </c:pt>
                <c:pt idx="113">
                  <c:v>86.366916141543101</c:v>
                </c:pt>
                <c:pt idx="114">
                  <c:v>83.360361777655285</c:v>
                </c:pt>
                <c:pt idx="115">
                  <c:v>82.580770715262588</c:v>
                </c:pt>
                <c:pt idx="116">
                  <c:v>82.044446984506294</c:v>
                </c:pt>
                <c:pt idx="117">
                  <c:v>81.895846978733957</c:v>
                </c:pt>
                <c:pt idx="118">
                  <c:v>79.132005497499208</c:v>
                </c:pt>
                <c:pt idx="119">
                  <c:v>79.066184391815966</c:v>
                </c:pt>
                <c:pt idx="120">
                  <c:v>77.243591488513445</c:v>
                </c:pt>
                <c:pt idx="121">
                  <c:v>81.075391589597558</c:v>
                </c:pt>
                <c:pt idx="122">
                  <c:v>80.132546890958196</c:v>
                </c:pt>
                <c:pt idx="123">
                  <c:v>80.548516426662303</c:v>
                </c:pt>
                <c:pt idx="124">
                  <c:v>77.982206889231691</c:v>
                </c:pt>
                <c:pt idx="125">
                  <c:v>76.889333871090415</c:v>
                </c:pt>
                <c:pt idx="126">
                  <c:v>81.836882440228749</c:v>
                </c:pt>
                <c:pt idx="127">
                  <c:v>80.282637413366558</c:v>
                </c:pt>
                <c:pt idx="128">
                  <c:v>84.466516816399718</c:v>
                </c:pt>
                <c:pt idx="129">
                  <c:v>85.384095291737495</c:v>
                </c:pt>
                <c:pt idx="130">
                  <c:v>85.480452177407358</c:v>
                </c:pt>
                <c:pt idx="131">
                  <c:v>83.383722902578526</c:v>
                </c:pt>
                <c:pt idx="132">
                  <c:v>82.250717213504771</c:v>
                </c:pt>
                <c:pt idx="133">
                  <c:v>80.815556807385519</c:v>
                </c:pt>
                <c:pt idx="134">
                  <c:v>81.623480664665252</c:v>
                </c:pt>
                <c:pt idx="135">
                  <c:v>86.333680254365973</c:v>
                </c:pt>
                <c:pt idx="136">
                  <c:v>85.832988425683396</c:v>
                </c:pt>
                <c:pt idx="137">
                  <c:v>86.022538409258388</c:v>
                </c:pt>
                <c:pt idx="138">
                  <c:v>85.177051105041386</c:v>
                </c:pt>
                <c:pt idx="139">
                  <c:v>85.712091917033078</c:v>
                </c:pt>
                <c:pt idx="140">
                  <c:v>84.829498214626454</c:v>
                </c:pt>
                <c:pt idx="141">
                  <c:v>83.48004227572001</c:v>
                </c:pt>
                <c:pt idx="142">
                  <c:v>83.522498095009396</c:v>
                </c:pt>
                <c:pt idx="143">
                  <c:v>81.067937195142733</c:v>
                </c:pt>
                <c:pt idx="144">
                  <c:v>79.74245903775045</c:v>
                </c:pt>
                <c:pt idx="145">
                  <c:v>80.545814231734184</c:v>
                </c:pt>
                <c:pt idx="146">
                  <c:v>82.633424024589388</c:v>
                </c:pt>
                <c:pt idx="147">
                  <c:v>83.380620825298564</c:v>
                </c:pt>
                <c:pt idx="148">
                  <c:v>84.840822638864779</c:v>
                </c:pt>
                <c:pt idx="149">
                  <c:v>83.924511584061563</c:v>
                </c:pt>
                <c:pt idx="150">
                  <c:v>83.038273365969786</c:v>
                </c:pt>
                <c:pt idx="151">
                  <c:v>82.588587692752199</c:v>
                </c:pt>
                <c:pt idx="152">
                  <c:v>84.829536321646458</c:v>
                </c:pt>
                <c:pt idx="153">
                  <c:v>85.962818964948497</c:v>
                </c:pt>
                <c:pt idx="154">
                  <c:v>86.101652907739648</c:v>
                </c:pt>
                <c:pt idx="155">
                  <c:v>85.607950340558588</c:v>
                </c:pt>
                <c:pt idx="156">
                  <c:v>85.096980985454579</c:v>
                </c:pt>
                <c:pt idx="157">
                  <c:v>87.667422894216386</c:v>
                </c:pt>
                <c:pt idx="158">
                  <c:v>87.93519798149687</c:v>
                </c:pt>
                <c:pt idx="159">
                  <c:v>87.009283005850477</c:v>
                </c:pt>
                <c:pt idx="160">
                  <c:v>87.445134796985855</c:v>
                </c:pt>
                <c:pt idx="161">
                  <c:v>85.135968480976786</c:v>
                </c:pt>
                <c:pt idx="162">
                  <c:v>84.424520983119649</c:v>
                </c:pt>
                <c:pt idx="163">
                  <c:v>83.915639841395475</c:v>
                </c:pt>
                <c:pt idx="164">
                  <c:v>85.028805825306989</c:v>
                </c:pt>
                <c:pt idx="165">
                  <c:v>84.280093976024418</c:v>
                </c:pt>
                <c:pt idx="166">
                  <c:v>84.885287423643618</c:v>
                </c:pt>
                <c:pt idx="167">
                  <c:v>85.713847667064869</c:v>
                </c:pt>
                <c:pt idx="168">
                  <c:v>84.967532245342909</c:v>
                </c:pt>
                <c:pt idx="169">
                  <c:v>84.63685016141811</c:v>
                </c:pt>
                <c:pt idx="170">
                  <c:v>83.383241594399351</c:v>
                </c:pt>
                <c:pt idx="171">
                  <c:v>81.652482158239522</c:v>
                </c:pt>
                <c:pt idx="172">
                  <c:v>82.492515678101867</c:v>
                </c:pt>
                <c:pt idx="173">
                  <c:v>81.180266673092106</c:v>
                </c:pt>
                <c:pt idx="174">
                  <c:v>81.538039757403837</c:v>
                </c:pt>
                <c:pt idx="175">
                  <c:v>81.393415221438474</c:v>
                </c:pt>
                <c:pt idx="176">
                  <c:v>82.416543286069327</c:v>
                </c:pt>
                <c:pt idx="177">
                  <c:v>82.072494683598649</c:v>
                </c:pt>
                <c:pt idx="178">
                  <c:v>80.815960078800885</c:v>
                </c:pt>
                <c:pt idx="179">
                  <c:v>80.529374615382778</c:v>
                </c:pt>
                <c:pt idx="180">
                  <c:v>80.200985287720499</c:v>
                </c:pt>
                <c:pt idx="181">
                  <c:v>81.666669350702691</c:v>
                </c:pt>
                <c:pt idx="182">
                  <c:v>78.301700738572848</c:v>
                </c:pt>
                <c:pt idx="183">
                  <c:v>77.223671544917025</c:v>
                </c:pt>
                <c:pt idx="184">
                  <c:v>77.71484527975079</c:v>
                </c:pt>
                <c:pt idx="185">
                  <c:v>75.611246598374535</c:v>
                </c:pt>
                <c:pt idx="186">
                  <c:v>76.313497216851275</c:v>
                </c:pt>
                <c:pt idx="187">
                  <c:v>77.568995956915685</c:v>
                </c:pt>
                <c:pt idx="188">
                  <c:v>78.147501456687479</c:v>
                </c:pt>
                <c:pt idx="189">
                  <c:v>76.719011437946577</c:v>
                </c:pt>
                <c:pt idx="190">
                  <c:v>75.69670692123259</c:v>
                </c:pt>
                <c:pt idx="191">
                  <c:v>75.776013119173186</c:v>
                </c:pt>
                <c:pt idx="192">
                  <c:v>73.975061601187633</c:v>
                </c:pt>
                <c:pt idx="193">
                  <c:v>72.464111034832726</c:v>
                </c:pt>
                <c:pt idx="194">
                  <c:v>73.085597320931257</c:v>
                </c:pt>
                <c:pt idx="195">
                  <c:v>73.671446557229714</c:v>
                </c:pt>
                <c:pt idx="196">
                  <c:v>70.844548443523649</c:v>
                </c:pt>
                <c:pt idx="197">
                  <c:v>70.147548164660918</c:v>
                </c:pt>
                <c:pt idx="198">
                  <c:v>68.958659798547615</c:v>
                </c:pt>
                <c:pt idx="199">
                  <c:v>69.418953177345827</c:v>
                </c:pt>
                <c:pt idx="200">
                  <c:v>68.461133220077727</c:v>
                </c:pt>
                <c:pt idx="201">
                  <c:v>68.263060202468282</c:v>
                </c:pt>
                <c:pt idx="202">
                  <c:v>67.023720498355772</c:v>
                </c:pt>
                <c:pt idx="203">
                  <c:v>69.939069067531264</c:v>
                </c:pt>
                <c:pt idx="204">
                  <c:v>67.253006144988078</c:v>
                </c:pt>
                <c:pt idx="205">
                  <c:v>67.102065580043373</c:v>
                </c:pt>
                <c:pt idx="206">
                  <c:v>65.917765388414466</c:v>
                </c:pt>
                <c:pt idx="207">
                  <c:v>63.580086734774596</c:v>
                </c:pt>
                <c:pt idx="208">
                  <c:v>62.148729260451312</c:v>
                </c:pt>
                <c:pt idx="209">
                  <c:v>67.391438463480043</c:v>
                </c:pt>
                <c:pt idx="210">
                  <c:v>70.579161375191688</c:v>
                </c:pt>
                <c:pt idx="211">
                  <c:v>71.219702185651258</c:v>
                </c:pt>
                <c:pt idx="212">
                  <c:v>70.743979055617885</c:v>
                </c:pt>
                <c:pt idx="213">
                  <c:v>74.273188432552416</c:v>
                </c:pt>
                <c:pt idx="214">
                  <c:v>75.875673144523674</c:v>
                </c:pt>
                <c:pt idx="215">
                  <c:v>72.170627174546098</c:v>
                </c:pt>
                <c:pt idx="216">
                  <c:v>71.972075098427467</c:v>
                </c:pt>
                <c:pt idx="217">
                  <c:v>69.243702787522281</c:v>
                </c:pt>
                <c:pt idx="218">
                  <c:v>72.822668756377254</c:v>
                </c:pt>
                <c:pt idx="219">
                  <c:v>73.924823147758445</c:v>
                </c:pt>
                <c:pt idx="220">
                  <c:v>73.261595953444811</c:v>
                </c:pt>
                <c:pt idx="221">
                  <c:v>73.388904894536594</c:v>
                </c:pt>
                <c:pt idx="222">
                  <c:v>72.902030371276808</c:v>
                </c:pt>
                <c:pt idx="223">
                  <c:v>75.869026245903299</c:v>
                </c:pt>
                <c:pt idx="224">
                  <c:v>75.373080452208427</c:v>
                </c:pt>
                <c:pt idx="225">
                  <c:v>72.714594582767731</c:v>
                </c:pt>
                <c:pt idx="226">
                  <c:v>74.926624121163627</c:v>
                </c:pt>
                <c:pt idx="227">
                  <c:v>75.96456928608302</c:v>
                </c:pt>
                <c:pt idx="228">
                  <c:v>73.484338925265533</c:v>
                </c:pt>
                <c:pt idx="229">
                  <c:v>71.866169490568367</c:v>
                </c:pt>
                <c:pt idx="230">
                  <c:v>73.183791057963958</c:v>
                </c:pt>
                <c:pt idx="231">
                  <c:v>73.86382758159624</c:v>
                </c:pt>
                <c:pt idx="232">
                  <c:v>71.889035288990982</c:v>
                </c:pt>
                <c:pt idx="233">
                  <c:v>70.015937551493778</c:v>
                </c:pt>
                <c:pt idx="234">
                  <c:v>70.595091285403413</c:v>
                </c:pt>
                <c:pt idx="235">
                  <c:v>70.293434098362127</c:v>
                </c:pt>
                <c:pt idx="236">
                  <c:v>71.926845871283419</c:v>
                </c:pt>
                <c:pt idx="237">
                  <c:v>69.939379191567156</c:v>
                </c:pt>
                <c:pt idx="238">
                  <c:v>70.206129969225699</c:v>
                </c:pt>
                <c:pt idx="239">
                  <c:v>71.165535836628351</c:v>
                </c:pt>
                <c:pt idx="240">
                  <c:v>73.621760332966446</c:v>
                </c:pt>
                <c:pt idx="241">
                  <c:v>73.015442932237889</c:v>
                </c:pt>
                <c:pt idx="242">
                  <c:v>73.780960721849965</c:v>
                </c:pt>
                <c:pt idx="243">
                  <c:v>74.733702812872394</c:v>
                </c:pt>
                <c:pt idx="244">
                  <c:v>71.678512555602964</c:v>
                </c:pt>
                <c:pt idx="245">
                  <c:v>73.049635254928873</c:v>
                </c:pt>
                <c:pt idx="246">
                  <c:v>76.145039138664117</c:v>
                </c:pt>
                <c:pt idx="247">
                  <c:v>72.44301512875802</c:v>
                </c:pt>
                <c:pt idx="248">
                  <c:v>72.652872826436365</c:v>
                </c:pt>
                <c:pt idx="249">
                  <c:v>73.469807834326119</c:v>
                </c:pt>
                <c:pt idx="250">
                  <c:v>72.815479274862881</c:v>
                </c:pt>
                <c:pt idx="251">
                  <c:v>67.351171439188548</c:v>
                </c:pt>
                <c:pt idx="252">
                  <c:v>69.686181366377212</c:v>
                </c:pt>
                <c:pt idx="253">
                  <c:v>64.378182342749255</c:v>
                </c:pt>
                <c:pt idx="254">
                  <c:v>70.440313477535426</c:v>
                </c:pt>
              </c:numCache>
            </c:numRef>
          </c:val>
          <c:smooth val="0"/>
        </c:ser>
        <c:dLbls>
          <c:showLegendKey val="0"/>
          <c:showVal val="0"/>
          <c:showCatName val="0"/>
          <c:showSerName val="0"/>
          <c:showPercent val="0"/>
          <c:showBubbleSize val="0"/>
        </c:dLbls>
        <c:marker val="1"/>
        <c:smooth val="0"/>
        <c:axId val="212400128"/>
        <c:axId val="199275008"/>
      </c:lineChart>
      <c:dateAx>
        <c:axId val="212400128"/>
        <c:scaling>
          <c:orientation val="minMax"/>
        </c:scaling>
        <c:delete val="0"/>
        <c:axPos val="b"/>
        <c:numFmt formatCode="mm/dd/yy" sourceLinked="1"/>
        <c:majorTickMark val="out"/>
        <c:minorTickMark val="none"/>
        <c:tickLblPos val="nextTo"/>
        <c:crossAx val="199275008"/>
        <c:crosses val="autoZero"/>
        <c:auto val="1"/>
        <c:lblOffset val="100"/>
        <c:baseTimeUnit val="days"/>
      </c:dateAx>
      <c:valAx>
        <c:axId val="199275008"/>
        <c:scaling>
          <c:orientation val="minMax"/>
          <c:min val="50"/>
        </c:scaling>
        <c:delete val="0"/>
        <c:axPos val="l"/>
        <c:majorGridlines/>
        <c:title>
          <c:tx>
            <c:rich>
              <a:bodyPr rot="-5400000" vert="horz"/>
              <a:lstStyle/>
              <a:p>
                <a:pPr>
                  <a:defRPr/>
                </a:pPr>
                <a:r>
                  <a:rPr lang="en-US" sz="1050">
                    <a:latin typeface="Times New Roman" pitchFamily="18" charset="0"/>
                    <a:cs typeface="Times New Roman" pitchFamily="18" charset="0"/>
                  </a:rPr>
                  <a:t>Cumulative Return</a:t>
                </a:r>
              </a:p>
            </c:rich>
          </c:tx>
          <c:overlay val="0"/>
        </c:title>
        <c:numFmt formatCode="General" sourceLinked="1"/>
        <c:majorTickMark val="out"/>
        <c:minorTickMark val="none"/>
        <c:tickLblPos val="nextTo"/>
        <c:crossAx val="212400128"/>
        <c:crosses val="autoZero"/>
        <c:crossBetween val="between"/>
      </c:valAx>
    </c:plotArea>
    <c:legend>
      <c:legendPos val="r"/>
      <c:layout>
        <c:manualLayout>
          <c:xMode val="edge"/>
          <c:yMode val="edge"/>
          <c:x val="5.6786786786786822E-2"/>
          <c:y val="0.92698526969843065"/>
          <c:w val="0.88315315315315324"/>
          <c:h val="6.0315174888853428E-2"/>
        </c:manualLayout>
      </c:layout>
      <c:overlay val="0"/>
    </c:legend>
    <c:plotVisOnly val="1"/>
    <c:dispBlanksAs val="gap"/>
    <c:showDLblsOverMax val="0"/>
  </c:chart>
  <c:spPr>
    <a:ln w="9525"/>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34254486845862"/>
          <c:y val="9.3794307775657365E-2"/>
          <c:w val="0.83968453570169399"/>
          <c:h val="0.6244670862423185"/>
        </c:manualLayout>
      </c:layout>
      <c:lineChart>
        <c:grouping val="standard"/>
        <c:varyColors val="0"/>
        <c:ser>
          <c:idx val="0"/>
          <c:order val="0"/>
          <c:tx>
            <c:strRef>
              <c:f>'Fig 5'!$D$2</c:f>
              <c:strCache>
                <c:ptCount val="1"/>
                <c:pt idx="0">
                  <c:v>Estimated</c:v>
                </c:pt>
              </c:strCache>
            </c:strRef>
          </c:tx>
          <c:spPr>
            <a:ln>
              <a:prstDash val="sysDash"/>
            </a:ln>
          </c:spPr>
          <c:marker>
            <c:symbol val="none"/>
          </c:marker>
          <c:cat>
            <c:numRef>
              <c:f>'Fig 5'!$A$4:$A$40</c:f>
              <c:numCache>
                <c:formatCode>mm/dd/yy</c:formatCode>
                <c:ptCount val="37"/>
                <c:pt idx="0">
                  <c:v>39693</c:v>
                </c:pt>
                <c:pt idx="1">
                  <c:v>39694</c:v>
                </c:pt>
                <c:pt idx="2">
                  <c:v>39695</c:v>
                </c:pt>
                <c:pt idx="3">
                  <c:v>39696</c:v>
                </c:pt>
                <c:pt idx="4">
                  <c:v>39699</c:v>
                </c:pt>
                <c:pt idx="5">
                  <c:v>39700</c:v>
                </c:pt>
                <c:pt idx="6">
                  <c:v>39701</c:v>
                </c:pt>
                <c:pt idx="7">
                  <c:v>39702</c:v>
                </c:pt>
                <c:pt idx="8">
                  <c:v>39703</c:v>
                </c:pt>
                <c:pt idx="9">
                  <c:v>39706</c:v>
                </c:pt>
                <c:pt idx="10">
                  <c:v>39707</c:v>
                </c:pt>
                <c:pt idx="11">
                  <c:v>39708</c:v>
                </c:pt>
                <c:pt idx="12">
                  <c:v>39709</c:v>
                </c:pt>
                <c:pt idx="13">
                  <c:v>39710</c:v>
                </c:pt>
                <c:pt idx="14">
                  <c:v>39713</c:v>
                </c:pt>
                <c:pt idx="15">
                  <c:v>39714</c:v>
                </c:pt>
                <c:pt idx="16">
                  <c:v>39715</c:v>
                </c:pt>
                <c:pt idx="17">
                  <c:v>39716</c:v>
                </c:pt>
                <c:pt idx="18">
                  <c:v>39717</c:v>
                </c:pt>
                <c:pt idx="19">
                  <c:v>39720</c:v>
                </c:pt>
                <c:pt idx="20">
                  <c:v>39721</c:v>
                </c:pt>
                <c:pt idx="21">
                  <c:v>39722</c:v>
                </c:pt>
                <c:pt idx="22">
                  <c:v>39723</c:v>
                </c:pt>
                <c:pt idx="23">
                  <c:v>39724</c:v>
                </c:pt>
                <c:pt idx="24">
                  <c:v>39727</c:v>
                </c:pt>
                <c:pt idx="25">
                  <c:v>39728</c:v>
                </c:pt>
                <c:pt idx="26">
                  <c:v>39729</c:v>
                </c:pt>
                <c:pt idx="27">
                  <c:v>39730</c:v>
                </c:pt>
                <c:pt idx="28">
                  <c:v>39731</c:v>
                </c:pt>
                <c:pt idx="29">
                  <c:v>39734</c:v>
                </c:pt>
                <c:pt idx="30">
                  <c:v>39735</c:v>
                </c:pt>
                <c:pt idx="31">
                  <c:v>39736</c:v>
                </c:pt>
                <c:pt idx="32">
                  <c:v>39737</c:v>
                </c:pt>
                <c:pt idx="33">
                  <c:v>39738</c:v>
                </c:pt>
                <c:pt idx="34">
                  <c:v>39741</c:v>
                </c:pt>
                <c:pt idx="35">
                  <c:v>39742</c:v>
                </c:pt>
                <c:pt idx="36">
                  <c:v>39743</c:v>
                </c:pt>
              </c:numCache>
            </c:numRef>
          </c:cat>
          <c:val>
            <c:numRef>
              <c:f>'Fig 5'!$D$3:$D$40</c:f>
              <c:numCache>
                <c:formatCode>General</c:formatCode>
                <c:ptCount val="38"/>
                <c:pt idx="0">
                  <c:v>100</c:v>
                </c:pt>
                <c:pt idx="1">
                  <c:v>101.29655969153291</c:v>
                </c:pt>
                <c:pt idx="2">
                  <c:v>102.83254510320845</c:v>
                </c:pt>
                <c:pt idx="3">
                  <c:v>98.863648883122352</c:v>
                </c:pt>
                <c:pt idx="4">
                  <c:v>100.30348547864568</c:v>
                </c:pt>
                <c:pt idx="5">
                  <c:v>105.79374113587146</c:v>
                </c:pt>
                <c:pt idx="6">
                  <c:v>101.84965554801168</c:v>
                </c:pt>
                <c:pt idx="7">
                  <c:v>102.02968346233813</c:v>
                </c:pt>
                <c:pt idx="8">
                  <c:v>102.80968084860955</c:v>
                </c:pt>
                <c:pt idx="9">
                  <c:v>102.50594073314574</c:v>
                </c:pt>
                <c:pt idx="10">
                  <c:v>94.832395803964204</c:v>
                </c:pt>
                <c:pt idx="11">
                  <c:v>97.214951498723465</c:v>
                </c:pt>
                <c:pt idx="12">
                  <c:v>87.450675054925412</c:v>
                </c:pt>
                <c:pt idx="13">
                  <c:v>96.943679948810697</c:v>
                </c:pt>
                <c:pt idx="14">
                  <c:v>102.28267441151668</c:v>
                </c:pt>
                <c:pt idx="15">
                  <c:v>94.589000755092911</c:v>
                </c:pt>
                <c:pt idx="16">
                  <c:v>93.244175805913827</c:v>
                </c:pt>
                <c:pt idx="17">
                  <c:v>92.754284970785662</c:v>
                </c:pt>
                <c:pt idx="18">
                  <c:v>95.338678770777449</c:v>
                </c:pt>
                <c:pt idx="19">
                  <c:v>95.426379729718946</c:v>
                </c:pt>
                <c:pt idx="20">
                  <c:v>86.522148286458574</c:v>
                </c:pt>
                <c:pt idx="21">
                  <c:v>90.797611391645759</c:v>
                </c:pt>
                <c:pt idx="22">
                  <c:v>91.221296584488869</c:v>
                </c:pt>
                <c:pt idx="23">
                  <c:v>87.296568496102765</c:v>
                </c:pt>
                <c:pt idx="24">
                  <c:v>84.562180850536066</c:v>
                </c:pt>
                <c:pt idx="25">
                  <c:v>79.024128372840181</c:v>
                </c:pt>
                <c:pt idx="26">
                  <c:v>72.876095888149081</c:v>
                </c:pt>
                <c:pt idx="27">
                  <c:v>69.84189143109414</c:v>
                </c:pt>
                <c:pt idx="28">
                  <c:v>62.255646701647613</c:v>
                </c:pt>
                <c:pt idx="29">
                  <c:v>65.057909425139826</c:v>
                </c:pt>
                <c:pt idx="30">
                  <c:v>74.836969926992367</c:v>
                </c:pt>
                <c:pt idx="31">
                  <c:v>74.030531147474235</c:v>
                </c:pt>
                <c:pt idx="32">
                  <c:v>65.476556427448983</c:v>
                </c:pt>
                <c:pt idx="33">
                  <c:v>68.871544235139353</c:v>
                </c:pt>
                <c:pt idx="34">
                  <c:v>68.454526486196997</c:v>
                </c:pt>
                <c:pt idx="35">
                  <c:v>70.698745113471162</c:v>
                </c:pt>
                <c:pt idx="36">
                  <c:v>68.238115070349565</c:v>
                </c:pt>
                <c:pt idx="37">
                  <c:v>63.687866531631045</c:v>
                </c:pt>
              </c:numCache>
            </c:numRef>
          </c:val>
          <c:smooth val="0"/>
        </c:ser>
        <c:ser>
          <c:idx val="1"/>
          <c:order val="1"/>
          <c:tx>
            <c:strRef>
              <c:f>'Fig 5'!$E$2</c:f>
              <c:strCache>
                <c:ptCount val="1"/>
                <c:pt idx="0">
                  <c:v>Actual</c:v>
                </c:pt>
              </c:strCache>
            </c:strRef>
          </c:tx>
          <c:spPr>
            <a:ln>
              <a:prstDash val="sysDash"/>
            </a:ln>
          </c:spPr>
          <c:marker>
            <c:symbol val="none"/>
          </c:marker>
          <c:cat>
            <c:numRef>
              <c:f>'Fig 5'!$A$4:$A$40</c:f>
              <c:numCache>
                <c:formatCode>mm/dd/yy</c:formatCode>
                <c:ptCount val="37"/>
                <c:pt idx="0">
                  <c:v>39693</c:v>
                </c:pt>
                <c:pt idx="1">
                  <c:v>39694</c:v>
                </c:pt>
                <c:pt idx="2">
                  <c:v>39695</c:v>
                </c:pt>
                <c:pt idx="3">
                  <c:v>39696</c:v>
                </c:pt>
                <c:pt idx="4">
                  <c:v>39699</c:v>
                </c:pt>
                <c:pt idx="5">
                  <c:v>39700</c:v>
                </c:pt>
                <c:pt idx="6">
                  <c:v>39701</c:v>
                </c:pt>
                <c:pt idx="7">
                  <c:v>39702</c:v>
                </c:pt>
                <c:pt idx="8">
                  <c:v>39703</c:v>
                </c:pt>
                <c:pt idx="9">
                  <c:v>39706</c:v>
                </c:pt>
                <c:pt idx="10">
                  <c:v>39707</c:v>
                </c:pt>
                <c:pt idx="11">
                  <c:v>39708</c:v>
                </c:pt>
                <c:pt idx="12">
                  <c:v>39709</c:v>
                </c:pt>
                <c:pt idx="13">
                  <c:v>39710</c:v>
                </c:pt>
                <c:pt idx="14">
                  <c:v>39713</c:v>
                </c:pt>
                <c:pt idx="15">
                  <c:v>39714</c:v>
                </c:pt>
                <c:pt idx="16">
                  <c:v>39715</c:v>
                </c:pt>
                <c:pt idx="17">
                  <c:v>39716</c:v>
                </c:pt>
                <c:pt idx="18">
                  <c:v>39717</c:v>
                </c:pt>
                <c:pt idx="19">
                  <c:v>39720</c:v>
                </c:pt>
                <c:pt idx="20">
                  <c:v>39721</c:v>
                </c:pt>
                <c:pt idx="21">
                  <c:v>39722</c:v>
                </c:pt>
                <c:pt idx="22">
                  <c:v>39723</c:v>
                </c:pt>
                <c:pt idx="23">
                  <c:v>39724</c:v>
                </c:pt>
                <c:pt idx="24">
                  <c:v>39727</c:v>
                </c:pt>
                <c:pt idx="25">
                  <c:v>39728</c:v>
                </c:pt>
                <c:pt idx="26">
                  <c:v>39729</c:v>
                </c:pt>
                <c:pt idx="27">
                  <c:v>39730</c:v>
                </c:pt>
                <c:pt idx="28">
                  <c:v>39731</c:v>
                </c:pt>
                <c:pt idx="29">
                  <c:v>39734</c:v>
                </c:pt>
                <c:pt idx="30">
                  <c:v>39735</c:v>
                </c:pt>
                <c:pt idx="31">
                  <c:v>39736</c:v>
                </c:pt>
                <c:pt idx="32">
                  <c:v>39737</c:v>
                </c:pt>
                <c:pt idx="33">
                  <c:v>39738</c:v>
                </c:pt>
                <c:pt idx="34">
                  <c:v>39741</c:v>
                </c:pt>
                <c:pt idx="35">
                  <c:v>39742</c:v>
                </c:pt>
                <c:pt idx="36">
                  <c:v>39743</c:v>
                </c:pt>
              </c:numCache>
            </c:numRef>
          </c:cat>
          <c:val>
            <c:numRef>
              <c:f>'Fig 5'!$E$3:$E$40</c:f>
              <c:numCache>
                <c:formatCode>General</c:formatCode>
                <c:ptCount val="38"/>
                <c:pt idx="0">
                  <c:v>100</c:v>
                </c:pt>
                <c:pt idx="1">
                  <c:v>101.04843271350425</c:v>
                </c:pt>
                <c:pt idx="2">
                  <c:v>102.35328282844117</c:v>
                </c:pt>
                <c:pt idx="3">
                  <c:v>98.168975872849714</c:v>
                </c:pt>
                <c:pt idx="4">
                  <c:v>100.04682889169435</c:v>
                </c:pt>
                <c:pt idx="5">
                  <c:v>104.28621135576908</c:v>
                </c:pt>
                <c:pt idx="6">
                  <c:v>99.216018173017005</c:v>
                </c:pt>
                <c:pt idx="7">
                  <c:v>99.50343366931736</c:v>
                </c:pt>
                <c:pt idx="8">
                  <c:v>100.62228603133968</c:v>
                </c:pt>
                <c:pt idx="9">
                  <c:v>99.726135116977119</c:v>
                </c:pt>
                <c:pt idx="10">
                  <c:v>92.242365086648761</c:v>
                </c:pt>
                <c:pt idx="11">
                  <c:v>95.440332302098497</c:v>
                </c:pt>
                <c:pt idx="12">
                  <c:v>88.170638644890758</c:v>
                </c:pt>
                <c:pt idx="13">
                  <c:v>96.473171494566529</c:v>
                </c:pt>
                <c:pt idx="14">
                  <c:v>105.17474843968678</c:v>
                </c:pt>
                <c:pt idx="15">
                  <c:v>98.268148908947992</c:v>
                </c:pt>
                <c:pt idx="16">
                  <c:v>96.868779593032414</c:v>
                </c:pt>
                <c:pt idx="17">
                  <c:v>96.102701886397838</c:v>
                </c:pt>
                <c:pt idx="18">
                  <c:v>98.402125014318187</c:v>
                </c:pt>
                <c:pt idx="19">
                  <c:v>99.921572953584317</c:v>
                </c:pt>
                <c:pt idx="20">
                  <c:v>87.507252379355137</c:v>
                </c:pt>
                <c:pt idx="21">
                  <c:v>95.698488659609055</c:v>
                </c:pt>
                <c:pt idx="22">
                  <c:v>96.672524427636958</c:v>
                </c:pt>
                <c:pt idx="23">
                  <c:v>92.486498477905769</c:v>
                </c:pt>
                <c:pt idx="24">
                  <c:v>90.005179421798971</c:v>
                </c:pt>
                <c:pt idx="25">
                  <c:v>86.540358306382728</c:v>
                </c:pt>
                <c:pt idx="26">
                  <c:v>78.364045028887887</c:v>
                </c:pt>
                <c:pt idx="27">
                  <c:v>76.610346657985858</c:v>
                </c:pt>
                <c:pt idx="28">
                  <c:v>68.252321682299751</c:v>
                </c:pt>
                <c:pt idx="29">
                  <c:v>71.57794458347135</c:v>
                </c:pt>
                <c:pt idx="30">
                  <c:v>78.584399176957689</c:v>
                </c:pt>
                <c:pt idx="31">
                  <c:v>81.61069720272917</c:v>
                </c:pt>
                <c:pt idx="32">
                  <c:v>74.546115846545575</c:v>
                </c:pt>
                <c:pt idx="33">
                  <c:v>76.31108057082055</c:v>
                </c:pt>
                <c:pt idx="34">
                  <c:v>75.206304044338196</c:v>
                </c:pt>
                <c:pt idx="35">
                  <c:v>77.450242895096508</c:v>
                </c:pt>
                <c:pt idx="36">
                  <c:v>75.801656368019593</c:v>
                </c:pt>
                <c:pt idx="37">
                  <c:v>70.707046221154698</c:v>
                </c:pt>
              </c:numCache>
            </c:numRef>
          </c:val>
          <c:smooth val="0"/>
        </c:ser>
        <c:dLbls>
          <c:showLegendKey val="0"/>
          <c:showVal val="0"/>
          <c:showCatName val="0"/>
          <c:showSerName val="0"/>
          <c:showPercent val="0"/>
          <c:showBubbleSize val="0"/>
        </c:dLbls>
        <c:marker val="1"/>
        <c:smooth val="0"/>
        <c:axId val="212401664"/>
        <c:axId val="190743680"/>
      </c:lineChart>
      <c:dateAx>
        <c:axId val="212401664"/>
        <c:scaling>
          <c:orientation val="minMax"/>
        </c:scaling>
        <c:delete val="0"/>
        <c:axPos val="b"/>
        <c:numFmt formatCode="mm/dd/yy" sourceLinked="1"/>
        <c:majorTickMark val="out"/>
        <c:minorTickMark val="none"/>
        <c:tickLblPos val="nextTo"/>
        <c:txPr>
          <a:bodyPr rot="-2700000"/>
          <a:lstStyle/>
          <a:p>
            <a:pPr>
              <a:defRPr/>
            </a:pPr>
            <a:endParaRPr lang="en-US"/>
          </a:p>
        </c:txPr>
        <c:crossAx val="190743680"/>
        <c:crosses val="autoZero"/>
        <c:auto val="1"/>
        <c:lblOffset val="100"/>
        <c:baseTimeUnit val="days"/>
      </c:dateAx>
      <c:valAx>
        <c:axId val="190743680"/>
        <c:scaling>
          <c:orientation val="minMax"/>
          <c:max val="125"/>
          <c:min val="50"/>
        </c:scaling>
        <c:delete val="0"/>
        <c:axPos val="l"/>
        <c:majorGridlines/>
        <c:title>
          <c:tx>
            <c:rich>
              <a:bodyPr rot="-5400000" vert="horz"/>
              <a:lstStyle/>
              <a:p>
                <a:pPr>
                  <a:defRPr/>
                </a:pPr>
                <a:r>
                  <a:rPr lang="en-US" sz="1050">
                    <a:latin typeface="Times New Roman" pitchFamily="18" charset="0"/>
                    <a:cs typeface="Times New Roman" pitchFamily="18" charset="0"/>
                  </a:rPr>
                  <a:t>Cumulative Return</a:t>
                </a:r>
              </a:p>
            </c:rich>
          </c:tx>
          <c:layout>
            <c:manualLayout>
              <c:xMode val="edge"/>
              <c:yMode val="edge"/>
              <c:x val="1.5446966188050021E-2"/>
              <c:y val="0.19189373690673986"/>
            </c:manualLayout>
          </c:layout>
          <c:overlay val="0"/>
        </c:title>
        <c:numFmt formatCode="General" sourceLinked="1"/>
        <c:majorTickMark val="out"/>
        <c:minorTickMark val="none"/>
        <c:tickLblPos val="nextTo"/>
        <c:crossAx val="212401664"/>
        <c:crosses val="autoZero"/>
        <c:crossBetween val="between"/>
      </c:valAx>
    </c:plotArea>
    <c:legend>
      <c:legendPos val="r"/>
      <c:layout>
        <c:manualLayout>
          <c:xMode val="edge"/>
          <c:yMode val="edge"/>
          <c:x val="5.0881392818280823E-2"/>
          <c:y val="0.92730005943645821"/>
          <c:w val="0.89978962640551696"/>
          <c:h val="4.5867272602948914E-2"/>
        </c:manualLayout>
      </c:layout>
      <c:overlay val="0"/>
    </c:legend>
    <c:plotVisOnly val="1"/>
    <c:dispBlanksAs val="gap"/>
    <c:showDLblsOverMax val="0"/>
  </c:chart>
  <c:spPr>
    <a:ln w="9525"/>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17846649765795"/>
          <c:y val="5.0870651477843629E-2"/>
          <c:w val="0.83397087352571986"/>
          <c:h val="0.61718934617708865"/>
        </c:manualLayout>
      </c:layout>
      <c:lineChart>
        <c:grouping val="standard"/>
        <c:varyColors val="0"/>
        <c:ser>
          <c:idx val="0"/>
          <c:order val="0"/>
          <c:tx>
            <c:strRef>
              <c:f>'Fig 3 Actual vs. Pred Ban'!$E$2</c:f>
              <c:strCache>
                <c:ptCount val="1"/>
                <c:pt idx="0">
                  <c:v>Estimated</c:v>
                </c:pt>
              </c:strCache>
            </c:strRef>
          </c:tx>
          <c:spPr>
            <a:ln w="25400">
              <a:prstDash val="sysDash"/>
            </a:ln>
          </c:spPr>
          <c:marker>
            <c:symbol val="none"/>
          </c:marker>
          <c:cat>
            <c:numRef>
              <c:f>'Fig 3 Actual vs. Pred Ban'!$A$4:$A$40</c:f>
              <c:numCache>
                <c:formatCode>m/d/yyyy</c:formatCode>
                <c:ptCount val="37"/>
                <c:pt idx="0">
                  <c:v>39693</c:v>
                </c:pt>
                <c:pt idx="1">
                  <c:v>39694</c:v>
                </c:pt>
                <c:pt idx="2">
                  <c:v>39695</c:v>
                </c:pt>
                <c:pt idx="3">
                  <c:v>39696</c:v>
                </c:pt>
                <c:pt idx="4">
                  <c:v>39699</c:v>
                </c:pt>
                <c:pt idx="5">
                  <c:v>39700</c:v>
                </c:pt>
                <c:pt idx="6">
                  <c:v>39701</c:v>
                </c:pt>
                <c:pt idx="7">
                  <c:v>39702</c:v>
                </c:pt>
                <c:pt idx="8">
                  <c:v>39703</c:v>
                </c:pt>
                <c:pt idx="9">
                  <c:v>39706</c:v>
                </c:pt>
                <c:pt idx="10">
                  <c:v>39707</c:v>
                </c:pt>
                <c:pt idx="11">
                  <c:v>39708</c:v>
                </c:pt>
                <c:pt idx="12">
                  <c:v>39709</c:v>
                </c:pt>
                <c:pt idx="13">
                  <c:v>39710</c:v>
                </c:pt>
                <c:pt idx="14">
                  <c:v>39713</c:v>
                </c:pt>
                <c:pt idx="15">
                  <c:v>39714</c:v>
                </c:pt>
                <c:pt idx="16">
                  <c:v>39715</c:v>
                </c:pt>
                <c:pt idx="17">
                  <c:v>39716</c:v>
                </c:pt>
                <c:pt idx="18">
                  <c:v>39717</c:v>
                </c:pt>
                <c:pt idx="19">
                  <c:v>39720</c:v>
                </c:pt>
                <c:pt idx="20">
                  <c:v>39721</c:v>
                </c:pt>
                <c:pt idx="21">
                  <c:v>39722</c:v>
                </c:pt>
                <c:pt idx="22">
                  <c:v>39723</c:v>
                </c:pt>
                <c:pt idx="23">
                  <c:v>39724</c:v>
                </c:pt>
                <c:pt idx="24">
                  <c:v>39727</c:v>
                </c:pt>
                <c:pt idx="25">
                  <c:v>39728</c:v>
                </c:pt>
                <c:pt idx="26">
                  <c:v>39729</c:v>
                </c:pt>
                <c:pt idx="27">
                  <c:v>39730</c:v>
                </c:pt>
                <c:pt idx="28">
                  <c:v>39731</c:v>
                </c:pt>
                <c:pt idx="29">
                  <c:v>39734</c:v>
                </c:pt>
                <c:pt idx="30">
                  <c:v>39735</c:v>
                </c:pt>
                <c:pt idx="31">
                  <c:v>39736</c:v>
                </c:pt>
                <c:pt idx="32">
                  <c:v>39737</c:v>
                </c:pt>
                <c:pt idx="33">
                  <c:v>39738</c:v>
                </c:pt>
                <c:pt idx="34">
                  <c:v>39741</c:v>
                </c:pt>
                <c:pt idx="35">
                  <c:v>39742</c:v>
                </c:pt>
                <c:pt idx="36">
                  <c:v>39743</c:v>
                </c:pt>
              </c:numCache>
            </c:numRef>
          </c:cat>
          <c:val>
            <c:numRef>
              <c:f>'Fig 3 Actual vs. Pred Ban'!$E$3:$E$40</c:f>
              <c:numCache>
                <c:formatCode>General</c:formatCode>
                <c:ptCount val="38"/>
                <c:pt idx="0">
                  <c:v>100</c:v>
                </c:pt>
                <c:pt idx="1">
                  <c:v>101.80366377675428</c:v>
                </c:pt>
                <c:pt idx="2">
                  <c:v>104.29382973884537</c:v>
                </c:pt>
                <c:pt idx="3">
                  <c:v>101.61608687616938</c:v>
                </c:pt>
                <c:pt idx="4">
                  <c:v>103.25539642169028</c:v>
                </c:pt>
                <c:pt idx="5">
                  <c:v>106.95052757198631</c:v>
                </c:pt>
                <c:pt idx="6">
                  <c:v>103.15004324850371</c:v>
                </c:pt>
                <c:pt idx="7">
                  <c:v>103.03516236386237</c:v>
                </c:pt>
                <c:pt idx="8">
                  <c:v>102.46016307045912</c:v>
                </c:pt>
                <c:pt idx="9">
                  <c:v>102.87166772173752</c:v>
                </c:pt>
                <c:pt idx="10">
                  <c:v>96.217212381280646</c:v>
                </c:pt>
                <c:pt idx="11">
                  <c:v>99.144092597317822</c:v>
                </c:pt>
                <c:pt idx="12">
                  <c:v>93.589020661626577</c:v>
                </c:pt>
                <c:pt idx="13">
                  <c:v>112.58515494222593</c:v>
                </c:pt>
                <c:pt idx="14">
                  <c:v>114.57991340162127</c:v>
                </c:pt>
                <c:pt idx="15">
                  <c:v>104.60675974682655</c:v>
                </c:pt>
                <c:pt idx="16">
                  <c:v>103.19249469319368</c:v>
                </c:pt>
                <c:pt idx="17">
                  <c:v>101.99842331497696</c:v>
                </c:pt>
                <c:pt idx="18">
                  <c:v>103.9521028454225</c:v>
                </c:pt>
                <c:pt idx="19">
                  <c:v>104.02169666582208</c:v>
                </c:pt>
                <c:pt idx="20">
                  <c:v>93.622612525861328</c:v>
                </c:pt>
                <c:pt idx="21">
                  <c:v>98.617786643377883</c:v>
                </c:pt>
                <c:pt idx="22">
                  <c:v>99.220025138992511</c:v>
                </c:pt>
                <c:pt idx="23">
                  <c:v>94.096327141527553</c:v>
                </c:pt>
                <c:pt idx="24">
                  <c:v>91.170064274527263</c:v>
                </c:pt>
                <c:pt idx="25">
                  <c:v>86.999499765619518</c:v>
                </c:pt>
                <c:pt idx="26">
                  <c:v>78.960611610352984</c:v>
                </c:pt>
                <c:pt idx="27">
                  <c:v>78.341452267306465</c:v>
                </c:pt>
                <c:pt idx="28">
                  <c:v>68.844251131467828</c:v>
                </c:pt>
                <c:pt idx="29">
                  <c:v>73.437171624681881</c:v>
                </c:pt>
                <c:pt idx="30">
                  <c:v>82.29132975021308</c:v>
                </c:pt>
                <c:pt idx="31">
                  <c:v>80.972959407157802</c:v>
                </c:pt>
                <c:pt idx="32">
                  <c:v>72.351858251779163</c:v>
                </c:pt>
                <c:pt idx="33">
                  <c:v>76.001969350489219</c:v>
                </c:pt>
                <c:pt idx="34">
                  <c:v>73.479757902675914</c:v>
                </c:pt>
                <c:pt idx="35">
                  <c:v>75.546620073646267</c:v>
                </c:pt>
                <c:pt idx="36">
                  <c:v>72.620625143327416</c:v>
                </c:pt>
                <c:pt idx="37">
                  <c:v>68.350495911944677</c:v>
                </c:pt>
              </c:numCache>
            </c:numRef>
          </c:val>
          <c:smooth val="0"/>
        </c:ser>
        <c:ser>
          <c:idx val="2"/>
          <c:order val="1"/>
          <c:tx>
            <c:strRef>
              <c:f>'Fig 3 Actual vs. Pred Ban'!$G$2</c:f>
              <c:strCache>
                <c:ptCount val="1"/>
                <c:pt idx="0">
                  <c:v>Actual</c:v>
                </c:pt>
              </c:strCache>
            </c:strRef>
          </c:tx>
          <c:spPr>
            <a:ln w="25400">
              <a:solidFill>
                <a:srgbClr val="C00000"/>
              </a:solidFill>
              <a:prstDash val="sysDash"/>
            </a:ln>
          </c:spPr>
          <c:marker>
            <c:symbol val="none"/>
          </c:marker>
          <c:cat>
            <c:numRef>
              <c:f>'Fig 3 Actual vs. Pred Ban'!$A$4:$A$40</c:f>
              <c:numCache>
                <c:formatCode>m/d/yyyy</c:formatCode>
                <c:ptCount val="37"/>
                <c:pt idx="0">
                  <c:v>39693</c:v>
                </c:pt>
                <c:pt idx="1">
                  <c:v>39694</c:v>
                </c:pt>
                <c:pt idx="2">
                  <c:v>39695</c:v>
                </c:pt>
                <c:pt idx="3">
                  <c:v>39696</c:v>
                </c:pt>
                <c:pt idx="4">
                  <c:v>39699</c:v>
                </c:pt>
                <c:pt idx="5">
                  <c:v>39700</c:v>
                </c:pt>
                <c:pt idx="6">
                  <c:v>39701</c:v>
                </c:pt>
                <c:pt idx="7">
                  <c:v>39702</c:v>
                </c:pt>
                <c:pt idx="8">
                  <c:v>39703</c:v>
                </c:pt>
                <c:pt idx="9">
                  <c:v>39706</c:v>
                </c:pt>
                <c:pt idx="10">
                  <c:v>39707</c:v>
                </c:pt>
                <c:pt idx="11">
                  <c:v>39708</c:v>
                </c:pt>
                <c:pt idx="12">
                  <c:v>39709</c:v>
                </c:pt>
                <c:pt idx="13">
                  <c:v>39710</c:v>
                </c:pt>
                <c:pt idx="14">
                  <c:v>39713</c:v>
                </c:pt>
                <c:pt idx="15">
                  <c:v>39714</c:v>
                </c:pt>
                <c:pt idx="16">
                  <c:v>39715</c:v>
                </c:pt>
                <c:pt idx="17">
                  <c:v>39716</c:v>
                </c:pt>
                <c:pt idx="18">
                  <c:v>39717</c:v>
                </c:pt>
                <c:pt idx="19">
                  <c:v>39720</c:v>
                </c:pt>
                <c:pt idx="20">
                  <c:v>39721</c:v>
                </c:pt>
                <c:pt idx="21">
                  <c:v>39722</c:v>
                </c:pt>
                <c:pt idx="22">
                  <c:v>39723</c:v>
                </c:pt>
                <c:pt idx="23">
                  <c:v>39724</c:v>
                </c:pt>
                <c:pt idx="24">
                  <c:v>39727</c:v>
                </c:pt>
                <c:pt idx="25">
                  <c:v>39728</c:v>
                </c:pt>
                <c:pt idx="26">
                  <c:v>39729</c:v>
                </c:pt>
                <c:pt idx="27">
                  <c:v>39730</c:v>
                </c:pt>
                <c:pt idx="28">
                  <c:v>39731</c:v>
                </c:pt>
                <c:pt idx="29">
                  <c:v>39734</c:v>
                </c:pt>
                <c:pt idx="30">
                  <c:v>39735</c:v>
                </c:pt>
                <c:pt idx="31">
                  <c:v>39736</c:v>
                </c:pt>
                <c:pt idx="32">
                  <c:v>39737</c:v>
                </c:pt>
                <c:pt idx="33">
                  <c:v>39738</c:v>
                </c:pt>
                <c:pt idx="34">
                  <c:v>39741</c:v>
                </c:pt>
                <c:pt idx="35">
                  <c:v>39742</c:v>
                </c:pt>
                <c:pt idx="36">
                  <c:v>39743</c:v>
                </c:pt>
              </c:numCache>
            </c:numRef>
          </c:cat>
          <c:val>
            <c:numRef>
              <c:f>'Fig 3 Actual vs. Pred Ban'!$G$3:$G$40</c:f>
              <c:numCache>
                <c:formatCode>General</c:formatCode>
                <c:ptCount val="38"/>
                <c:pt idx="0">
                  <c:v>100</c:v>
                </c:pt>
                <c:pt idx="1">
                  <c:v>101.86294937264383</c:v>
                </c:pt>
                <c:pt idx="2">
                  <c:v>104.58654767685881</c:v>
                </c:pt>
                <c:pt idx="3">
                  <c:v>101.20612172876586</c:v>
                </c:pt>
                <c:pt idx="4">
                  <c:v>103.47852096801905</c:v>
                </c:pt>
                <c:pt idx="5">
                  <c:v>105.46514374483341</c:v>
                </c:pt>
                <c:pt idx="6">
                  <c:v>100.90542509051566</c:v>
                </c:pt>
                <c:pt idx="7">
                  <c:v>101.01996898171383</c:v>
                </c:pt>
                <c:pt idx="8">
                  <c:v>100.82555220270437</c:v>
                </c:pt>
                <c:pt idx="9">
                  <c:v>101.52501267142557</c:v>
                </c:pt>
                <c:pt idx="10">
                  <c:v>95.331113274288427</c:v>
                </c:pt>
                <c:pt idx="11">
                  <c:v>99.269717071928341</c:v>
                </c:pt>
                <c:pt idx="12">
                  <c:v>93.592446313937188</c:v>
                </c:pt>
                <c:pt idx="13">
                  <c:v>107.62932867777764</c:v>
                </c:pt>
                <c:pt idx="14">
                  <c:v>115.50165423641384</c:v>
                </c:pt>
                <c:pt idx="15">
                  <c:v>106.16757504426117</c:v>
                </c:pt>
                <c:pt idx="16">
                  <c:v>105.50076386937685</c:v>
                </c:pt>
                <c:pt idx="17">
                  <c:v>104.92934896969166</c:v>
                </c:pt>
                <c:pt idx="18">
                  <c:v>105.36580355400204</c:v>
                </c:pt>
                <c:pt idx="19">
                  <c:v>103.0045807733693</c:v>
                </c:pt>
                <c:pt idx="20">
                  <c:v>91.182917336400791</c:v>
                </c:pt>
                <c:pt idx="21">
                  <c:v>96.75681288235532</c:v>
                </c:pt>
                <c:pt idx="22">
                  <c:v>99.009348430137891</c:v>
                </c:pt>
                <c:pt idx="23">
                  <c:v>95.668819960414453</c:v>
                </c:pt>
                <c:pt idx="24">
                  <c:v>93.576363101149411</c:v>
                </c:pt>
                <c:pt idx="25">
                  <c:v>89.490594838807567</c:v>
                </c:pt>
                <c:pt idx="26">
                  <c:v>81.592476758396757</c:v>
                </c:pt>
                <c:pt idx="27">
                  <c:v>78.447640292399726</c:v>
                </c:pt>
                <c:pt idx="28">
                  <c:v>66.054535787813123</c:v>
                </c:pt>
                <c:pt idx="29">
                  <c:v>72.196232953334487</c:v>
                </c:pt>
                <c:pt idx="30">
                  <c:v>78.208347707252997</c:v>
                </c:pt>
                <c:pt idx="31">
                  <c:v>79.281609755105691</c:v>
                </c:pt>
                <c:pt idx="32">
                  <c:v>72.764791177310201</c:v>
                </c:pt>
                <c:pt idx="33">
                  <c:v>77.473270804462814</c:v>
                </c:pt>
                <c:pt idx="34">
                  <c:v>75.389179893684727</c:v>
                </c:pt>
                <c:pt idx="35">
                  <c:v>76.627387121644134</c:v>
                </c:pt>
                <c:pt idx="36">
                  <c:v>73.930682914949813</c:v>
                </c:pt>
                <c:pt idx="37">
                  <c:v>69.353588661718121</c:v>
                </c:pt>
              </c:numCache>
            </c:numRef>
          </c:val>
          <c:smooth val="0"/>
        </c:ser>
        <c:dLbls>
          <c:showLegendKey val="0"/>
          <c:showVal val="0"/>
          <c:showCatName val="0"/>
          <c:showSerName val="0"/>
          <c:showPercent val="0"/>
          <c:showBubbleSize val="0"/>
        </c:dLbls>
        <c:marker val="1"/>
        <c:smooth val="0"/>
        <c:axId val="233649152"/>
        <c:axId val="190745408"/>
      </c:lineChart>
      <c:dateAx>
        <c:axId val="233649152"/>
        <c:scaling>
          <c:orientation val="minMax"/>
        </c:scaling>
        <c:delete val="0"/>
        <c:axPos val="b"/>
        <c:numFmt formatCode="mm/dd/yy" sourceLinked="0"/>
        <c:majorTickMark val="out"/>
        <c:minorTickMark val="none"/>
        <c:tickLblPos val="nextTo"/>
        <c:txPr>
          <a:bodyPr rot="-2700000"/>
          <a:lstStyle/>
          <a:p>
            <a:pPr>
              <a:defRPr/>
            </a:pPr>
            <a:endParaRPr lang="en-US"/>
          </a:p>
        </c:txPr>
        <c:crossAx val="190745408"/>
        <c:crosses val="autoZero"/>
        <c:auto val="1"/>
        <c:lblOffset val="100"/>
        <c:baseTimeUnit val="days"/>
      </c:dateAx>
      <c:valAx>
        <c:axId val="190745408"/>
        <c:scaling>
          <c:orientation val="minMax"/>
          <c:max val="120"/>
          <c:min val="50"/>
        </c:scaling>
        <c:delete val="0"/>
        <c:axPos val="l"/>
        <c:majorGridlines/>
        <c:title>
          <c:tx>
            <c:rich>
              <a:bodyPr rot="-5400000" vert="horz"/>
              <a:lstStyle/>
              <a:p>
                <a:pPr>
                  <a:defRPr/>
                </a:pPr>
                <a:r>
                  <a:rPr lang="en-US" sz="1050">
                    <a:latin typeface="Times New Roman" pitchFamily="18" charset="0"/>
                    <a:cs typeface="Times New Roman" pitchFamily="18" charset="0"/>
                  </a:rPr>
                  <a:t>Cumulative Return</a:t>
                </a:r>
              </a:p>
            </c:rich>
          </c:tx>
          <c:layout>
            <c:manualLayout>
              <c:xMode val="edge"/>
              <c:yMode val="edge"/>
              <c:x val="1.6282867135214239E-2"/>
              <c:y val="0.14537383515134006"/>
            </c:manualLayout>
          </c:layout>
          <c:overlay val="0"/>
        </c:title>
        <c:numFmt formatCode="General" sourceLinked="1"/>
        <c:majorTickMark val="out"/>
        <c:minorTickMark val="none"/>
        <c:tickLblPos val="nextTo"/>
        <c:crossAx val="233649152"/>
        <c:crosses val="autoZero"/>
        <c:crossBetween val="midCat"/>
      </c:valAx>
    </c:plotArea>
    <c:legend>
      <c:legendPos val="r"/>
      <c:layout>
        <c:manualLayout>
          <c:xMode val="edge"/>
          <c:yMode val="edge"/>
          <c:x val="9.4668481464049659E-2"/>
          <c:y val="0.85706060824965691"/>
          <c:w val="0.84932721051225624"/>
          <c:h val="0.11983674059091239"/>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60750335511777"/>
          <c:y val="8.5505208756122691E-2"/>
          <c:w val="0.856301733090022"/>
          <c:h val="0.6316765971263929"/>
        </c:manualLayout>
      </c:layout>
      <c:lineChart>
        <c:grouping val="standard"/>
        <c:varyColors val="0"/>
        <c:ser>
          <c:idx val="0"/>
          <c:order val="0"/>
          <c:tx>
            <c:strRef>
              <c:f>'Fig 7'!$L$2</c:f>
              <c:strCache>
                <c:ptCount val="1"/>
                <c:pt idx="0">
                  <c:v>Optionable</c:v>
                </c:pt>
              </c:strCache>
            </c:strRef>
          </c:tx>
          <c:spPr>
            <a:ln>
              <a:prstDash val="sysDash"/>
            </a:ln>
          </c:spPr>
          <c:marker>
            <c:symbol val="none"/>
          </c:marker>
          <c:cat>
            <c:numRef>
              <c:f>'Fig 7'!$A$4:$A$40</c:f>
              <c:numCache>
                <c:formatCode>mm/dd/yy</c:formatCode>
                <c:ptCount val="37"/>
                <c:pt idx="0">
                  <c:v>39693</c:v>
                </c:pt>
                <c:pt idx="1">
                  <c:v>39694</c:v>
                </c:pt>
                <c:pt idx="2">
                  <c:v>39695</c:v>
                </c:pt>
                <c:pt idx="3">
                  <c:v>39696</c:v>
                </c:pt>
                <c:pt idx="4">
                  <c:v>39699</c:v>
                </c:pt>
                <c:pt idx="5">
                  <c:v>39700</c:v>
                </c:pt>
                <c:pt idx="6">
                  <c:v>39701</c:v>
                </c:pt>
                <c:pt idx="7">
                  <c:v>39702</c:v>
                </c:pt>
                <c:pt idx="8">
                  <c:v>39703</c:v>
                </c:pt>
                <c:pt idx="9">
                  <c:v>39706</c:v>
                </c:pt>
                <c:pt idx="10">
                  <c:v>39707</c:v>
                </c:pt>
                <c:pt idx="11">
                  <c:v>39708</c:v>
                </c:pt>
                <c:pt idx="12">
                  <c:v>39709</c:v>
                </c:pt>
                <c:pt idx="13">
                  <c:v>39710</c:v>
                </c:pt>
                <c:pt idx="14">
                  <c:v>39713</c:v>
                </c:pt>
                <c:pt idx="15">
                  <c:v>39714</c:v>
                </c:pt>
                <c:pt idx="16">
                  <c:v>39715</c:v>
                </c:pt>
                <c:pt idx="17">
                  <c:v>39716</c:v>
                </c:pt>
                <c:pt idx="18">
                  <c:v>39717</c:v>
                </c:pt>
                <c:pt idx="19">
                  <c:v>39720</c:v>
                </c:pt>
                <c:pt idx="20">
                  <c:v>39721</c:v>
                </c:pt>
                <c:pt idx="21">
                  <c:v>39722</c:v>
                </c:pt>
                <c:pt idx="22">
                  <c:v>39723</c:v>
                </c:pt>
                <c:pt idx="23">
                  <c:v>39724</c:v>
                </c:pt>
                <c:pt idx="24">
                  <c:v>39727</c:v>
                </c:pt>
                <c:pt idx="25">
                  <c:v>39728</c:v>
                </c:pt>
                <c:pt idx="26">
                  <c:v>39729</c:v>
                </c:pt>
                <c:pt idx="27">
                  <c:v>39730</c:v>
                </c:pt>
                <c:pt idx="28">
                  <c:v>39731</c:v>
                </c:pt>
                <c:pt idx="29">
                  <c:v>39734</c:v>
                </c:pt>
                <c:pt idx="30">
                  <c:v>39735</c:v>
                </c:pt>
                <c:pt idx="31">
                  <c:v>39736</c:v>
                </c:pt>
                <c:pt idx="32">
                  <c:v>39737</c:v>
                </c:pt>
                <c:pt idx="33">
                  <c:v>39738</c:v>
                </c:pt>
                <c:pt idx="34">
                  <c:v>39741</c:v>
                </c:pt>
                <c:pt idx="35">
                  <c:v>39742</c:v>
                </c:pt>
                <c:pt idx="36">
                  <c:v>39743</c:v>
                </c:pt>
              </c:numCache>
            </c:numRef>
          </c:cat>
          <c:val>
            <c:numRef>
              <c:f>'Fig 7'!$L$3:$L$40</c:f>
              <c:numCache>
                <c:formatCode>0%</c:formatCode>
                <c:ptCount val="38"/>
                <c:pt idx="0">
                  <c:v>0</c:v>
                </c:pt>
                <c:pt idx="1">
                  <c:v>2.0587851331443224E-4</c:v>
                </c:pt>
                <c:pt idx="2">
                  <c:v>-1.5959362235531543E-3</c:v>
                </c:pt>
                <c:pt idx="3">
                  <c:v>-8.156572164433119E-3</c:v>
                </c:pt>
                <c:pt idx="4">
                  <c:v>-8.4021997275596835E-4</c:v>
                </c:pt>
                <c:pt idx="5">
                  <c:v>-2.4468765720302994E-2</c:v>
                </c:pt>
                <c:pt idx="6">
                  <c:v>-3.9254393386318871E-2</c:v>
                </c:pt>
                <c:pt idx="7">
                  <c:v>-3.6322505804017649E-2</c:v>
                </c:pt>
                <c:pt idx="8">
                  <c:v>-3.8047249771535882E-2</c:v>
                </c:pt>
                <c:pt idx="9">
                  <c:v>-4.1972349050669766E-2</c:v>
                </c:pt>
                <c:pt idx="10">
                  <c:v>-3.6980398011447091E-2</c:v>
                </c:pt>
                <c:pt idx="11">
                  <c:v>-4.2368684309381413E-2</c:v>
                </c:pt>
                <c:pt idx="12">
                  <c:v>-4.3571357447161875E-2</c:v>
                </c:pt>
                <c:pt idx="13">
                  <c:v>-7.5338813713817301E-2</c:v>
                </c:pt>
                <c:pt idx="14">
                  <c:v>-3.0137536073865639E-2</c:v>
                </c:pt>
                <c:pt idx="15">
                  <c:v>-3.4424597628155001E-2</c:v>
                </c:pt>
                <c:pt idx="16">
                  <c:v>-3.1641486706423999E-2</c:v>
                </c:pt>
                <c:pt idx="17">
                  <c:v>-1.9367624911889827E-2</c:v>
                </c:pt>
                <c:pt idx="18">
                  <c:v>-3.7032369457162796E-2</c:v>
                </c:pt>
                <c:pt idx="19">
                  <c:v>-6.3557533765666807E-2</c:v>
                </c:pt>
                <c:pt idx="20">
                  <c:v>-0.12278117400840623</c:v>
                </c:pt>
                <c:pt idx="21">
                  <c:v>-9.5480131598941448E-2</c:v>
                </c:pt>
                <c:pt idx="22">
                  <c:v>-6.2706957024092499E-2</c:v>
                </c:pt>
                <c:pt idx="23">
                  <c:v>-5.1412180198947922E-2</c:v>
                </c:pt>
                <c:pt idx="24">
                  <c:v>-3.5432626871931466E-2</c:v>
                </c:pt>
                <c:pt idx="25">
                  <c:v>-2.6110215369017052E-2</c:v>
                </c:pt>
                <c:pt idx="26">
                  <c:v>-3.9067671612611682E-2</c:v>
                </c:pt>
                <c:pt idx="27">
                  <c:v>-5.0755460354150732E-2</c:v>
                </c:pt>
                <c:pt idx="28">
                  <c:v>-8.5512950161816731E-2</c:v>
                </c:pt>
                <c:pt idx="29">
                  <c:v>-8.7028387838033558E-2</c:v>
                </c:pt>
                <c:pt idx="30">
                  <c:v>-0.11298095841985434</c:v>
                </c:pt>
                <c:pt idx="31">
                  <c:v>-5.9079983442194312E-2</c:v>
                </c:pt>
                <c:pt idx="32">
                  <c:v>-1.9143762883853211E-2</c:v>
                </c:pt>
                <c:pt idx="33">
                  <c:v>-1.667043550289584E-2</c:v>
                </c:pt>
                <c:pt idx="34">
                  <c:v>-1.5548460699426506E-2</c:v>
                </c:pt>
                <c:pt idx="35">
                  <c:v>-1.4132701459282125E-2</c:v>
                </c:pt>
                <c:pt idx="36">
                  <c:v>-6.4391043733211554E-3</c:v>
                </c:pt>
                <c:pt idx="37">
                  <c:v>-2.7808098495262635E-3</c:v>
                </c:pt>
              </c:numCache>
            </c:numRef>
          </c:val>
          <c:smooth val="0"/>
        </c:ser>
        <c:ser>
          <c:idx val="1"/>
          <c:order val="1"/>
          <c:tx>
            <c:strRef>
              <c:f>'Fig 7'!$M$2</c:f>
              <c:strCache>
                <c:ptCount val="1"/>
                <c:pt idx="0">
                  <c:v>Not Optionable</c:v>
                </c:pt>
              </c:strCache>
            </c:strRef>
          </c:tx>
          <c:spPr>
            <a:ln>
              <a:prstDash val="sysDash"/>
            </a:ln>
          </c:spPr>
          <c:marker>
            <c:symbol val="none"/>
          </c:marker>
          <c:cat>
            <c:numRef>
              <c:f>'Fig 7'!$A$4:$A$40</c:f>
              <c:numCache>
                <c:formatCode>mm/dd/yy</c:formatCode>
                <c:ptCount val="37"/>
                <c:pt idx="0">
                  <c:v>39693</c:v>
                </c:pt>
                <c:pt idx="1">
                  <c:v>39694</c:v>
                </c:pt>
                <c:pt idx="2">
                  <c:v>39695</c:v>
                </c:pt>
                <c:pt idx="3">
                  <c:v>39696</c:v>
                </c:pt>
                <c:pt idx="4">
                  <c:v>39699</c:v>
                </c:pt>
                <c:pt idx="5">
                  <c:v>39700</c:v>
                </c:pt>
                <c:pt idx="6">
                  <c:v>39701</c:v>
                </c:pt>
                <c:pt idx="7">
                  <c:v>39702</c:v>
                </c:pt>
                <c:pt idx="8">
                  <c:v>39703</c:v>
                </c:pt>
                <c:pt idx="9">
                  <c:v>39706</c:v>
                </c:pt>
                <c:pt idx="10">
                  <c:v>39707</c:v>
                </c:pt>
                <c:pt idx="11">
                  <c:v>39708</c:v>
                </c:pt>
                <c:pt idx="12">
                  <c:v>39709</c:v>
                </c:pt>
                <c:pt idx="13">
                  <c:v>39710</c:v>
                </c:pt>
                <c:pt idx="14">
                  <c:v>39713</c:v>
                </c:pt>
                <c:pt idx="15">
                  <c:v>39714</c:v>
                </c:pt>
                <c:pt idx="16">
                  <c:v>39715</c:v>
                </c:pt>
                <c:pt idx="17">
                  <c:v>39716</c:v>
                </c:pt>
                <c:pt idx="18">
                  <c:v>39717</c:v>
                </c:pt>
                <c:pt idx="19">
                  <c:v>39720</c:v>
                </c:pt>
                <c:pt idx="20">
                  <c:v>39721</c:v>
                </c:pt>
                <c:pt idx="21">
                  <c:v>39722</c:v>
                </c:pt>
                <c:pt idx="22">
                  <c:v>39723</c:v>
                </c:pt>
                <c:pt idx="23">
                  <c:v>39724</c:v>
                </c:pt>
                <c:pt idx="24">
                  <c:v>39727</c:v>
                </c:pt>
                <c:pt idx="25">
                  <c:v>39728</c:v>
                </c:pt>
                <c:pt idx="26">
                  <c:v>39729</c:v>
                </c:pt>
                <c:pt idx="27">
                  <c:v>39730</c:v>
                </c:pt>
                <c:pt idx="28">
                  <c:v>39731</c:v>
                </c:pt>
                <c:pt idx="29">
                  <c:v>39734</c:v>
                </c:pt>
                <c:pt idx="30">
                  <c:v>39735</c:v>
                </c:pt>
                <c:pt idx="31">
                  <c:v>39736</c:v>
                </c:pt>
                <c:pt idx="32">
                  <c:v>39737</c:v>
                </c:pt>
                <c:pt idx="33">
                  <c:v>39738</c:v>
                </c:pt>
                <c:pt idx="34">
                  <c:v>39741</c:v>
                </c:pt>
                <c:pt idx="35">
                  <c:v>39742</c:v>
                </c:pt>
                <c:pt idx="36">
                  <c:v>39743</c:v>
                </c:pt>
              </c:numCache>
            </c:numRef>
          </c:cat>
          <c:val>
            <c:numRef>
              <c:f>'Fig 7'!$M$3:$M$40</c:f>
              <c:numCache>
                <c:formatCode>0%</c:formatCode>
                <c:ptCount val="38"/>
                <c:pt idx="0">
                  <c:v>0</c:v>
                </c:pt>
                <c:pt idx="1">
                  <c:v>7.3730910850343398E-3</c:v>
                </c:pt>
                <c:pt idx="2">
                  <c:v>1.2996423071655942E-2</c:v>
                </c:pt>
                <c:pt idx="3">
                  <c:v>1.987916295874936E-2</c:v>
                </c:pt>
                <c:pt idx="4">
                  <c:v>1.6008794997237823E-2</c:v>
                </c:pt>
                <c:pt idx="5">
                  <c:v>7.273360098187946E-3</c:v>
                </c:pt>
                <c:pt idx="6">
                  <c:v>3.9507659726329492E-3</c:v>
                </c:pt>
                <c:pt idx="7">
                  <c:v>1.0801396188618913E-2</c:v>
                </c:pt>
                <c:pt idx="8">
                  <c:v>-1.5425456291604564E-4</c:v>
                </c:pt>
                <c:pt idx="9">
                  <c:v>-7.1228426650046823E-3</c:v>
                </c:pt>
                <c:pt idx="10">
                  <c:v>-1.0876882624805831E-2</c:v>
                </c:pt>
                <c:pt idx="11">
                  <c:v>-2.3314751054901127E-2</c:v>
                </c:pt>
                <c:pt idx="12">
                  <c:v>-3.9594369512086142E-2</c:v>
                </c:pt>
                <c:pt idx="13">
                  <c:v>-6.4090018908734128E-2</c:v>
                </c:pt>
                <c:pt idx="14">
                  <c:v>-5.8064522154300134E-3</c:v>
                </c:pt>
                <c:pt idx="15">
                  <c:v>1.2256703643734001E-2</c:v>
                </c:pt>
                <c:pt idx="16">
                  <c:v>1.1936258587101506E-2</c:v>
                </c:pt>
                <c:pt idx="17">
                  <c:v>2.7454944663512292E-2</c:v>
                </c:pt>
                <c:pt idx="18">
                  <c:v>3.3880083587545011E-2</c:v>
                </c:pt>
                <c:pt idx="19">
                  <c:v>2.8811745848107646E-2</c:v>
                </c:pt>
                <c:pt idx="20">
                  <c:v>2.1547959667332653E-2</c:v>
                </c:pt>
                <c:pt idx="21">
                  <c:v>3.659505018935208E-2</c:v>
                </c:pt>
                <c:pt idx="22">
                  <c:v>3.1703312483283216E-2</c:v>
                </c:pt>
                <c:pt idx="23">
                  <c:v>6.9126825418813931E-2</c:v>
                </c:pt>
                <c:pt idx="24">
                  <c:v>9.0177377345832768E-2</c:v>
                </c:pt>
                <c:pt idx="25">
                  <c:v>9.9203358752599377E-2</c:v>
                </c:pt>
                <c:pt idx="26">
                  <c:v>7.9050129818353423E-2</c:v>
                </c:pt>
                <c:pt idx="27">
                  <c:v>6.9505278950021093E-2</c:v>
                </c:pt>
                <c:pt idx="28">
                  <c:v>2.8964533627953662E-2</c:v>
                </c:pt>
                <c:pt idx="29">
                  <c:v>3.5647860625167442E-2</c:v>
                </c:pt>
                <c:pt idx="30">
                  <c:v>2.8368302020209752E-2</c:v>
                </c:pt>
                <c:pt idx="31">
                  <c:v>3.0899666228041446E-2</c:v>
                </c:pt>
                <c:pt idx="32">
                  <c:v>5.8574369542519947E-2</c:v>
                </c:pt>
                <c:pt idx="33">
                  <c:v>8.5711802377629431E-2</c:v>
                </c:pt>
                <c:pt idx="34">
                  <c:v>7.0045863160548977E-2</c:v>
                </c:pt>
                <c:pt idx="35">
                  <c:v>6.0721406352023846E-2</c:v>
                </c:pt>
                <c:pt idx="36">
                  <c:v>5.0279178961436015E-2</c:v>
                </c:pt>
                <c:pt idx="37">
                  <c:v>6.350122736757291E-2</c:v>
                </c:pt>
              </c:numCache>
            </c:numRef>
          </c:val>
          <c:smooth val="0"/>
        </c:ser>
        <c:dLbls>
          <c:showLegendKey val="0"/>
          <c:showVal val="0"/>
          <c:showCatName val="0"/>
          <c:showSerName val="0"/>
          <c:showPercent val="0"/>
          <c:showBubbleSize val="0"/>
        </c:dLbls>
        <c:marker val="1"/>
        <c:smooth val="0"/>
        <c:axId val="233649664"/>
        <c:axId val="206926912"/>
      </c:lineChart>
      <c:dateAx>
        <c:axId val="233649664"/>
        <c:scaling>
          <c:orientation val="minMax"/>
        </c:scaling>
        <c:delete val="0"/>
        <c:axPos val="b"/>
        <c:numFmt formatCode="mm/dd/yy" sourceLinked="1"/>
        <c:majorTickMark val="out"/>
        <c:minorTickMark val="none"/>
        <c:tickLblPos val="nextTo"/>
        <c:txPr>
          <a:bodyPr rot="-2700000"/>
          <a:lstStyle/>
          <a:p>
            <a:pPr>
              <a:defRPr/>
            </a:pPr>
            <a:endParaRPr lang="en-US"/>
          </a:p>
        </c:txPr>
        <c:crossAx val="206926912"/>
        <c:crossesAt val="-15"/>
        <c:auto val="1"/>
        <c:lblOffset val="100"/>
        <c:baseTimeUnit val="days"/>
      </c:dateAx>
      <c:valAx>
        <c:axId val="206926912"/>
        <c:scaling>
          <c:orientation val="minMax"/>
        </c:scaling>
        <c:delete val="0"/>
        <c:axPos val="l"/>
        <c:majorGridlines/>
        <c:title>
          <c:tx>
            <c:rich>
              <a:bodyPr rot="-5400000" vert="horz"/>
              <a:lstStyle/>
              <a:p>
                <a:pPr>
                  <a:defRPr/>
                </a:pPr>
                <a:r>
                  <a:rPr lang="en-CA" sz="1050">
                    <a:latin typeface="Times New Roman" pitchFamily="18" charset="0"/>
                    <a:cs typeface="Times New Roman" pitchFamily="18" charset="0"/>
                  </a:rPr>
                  <a:t>Cumulative Difference</a:t>
                </a:r>
              </a:p>
            </c:rich>
          </c:tx>
          <c:layout>
            <c:manualLayout>
              <c:xMode val="edge"/>
              <c:yMode val="edge"/>
              <c:x val="1.0236725217040232E-2"/>
              <c:y val="0.16260153293052737"/>
            </c:manualLayout>
          </c:layout>
          <c:overlay val="0"/>
        </c:title>
        <c:numFmt formatCode="0%" sourceLinked="1"/>
        <c:majorTickMark val="out"/>
        <c:minorTickMark val="none"/>
        <c:tickLblPos val="nextTo"/>
        <c:crossAx val="233649664"/>
        <c:crosses val="autoZero"/>
        <c:crossBetween val="between"/>
      </c:valAx>
    </c:plotArea>
    <c:legend>
      <c:legendPos val="r"/>
      <c:layout>
        <c:manualLayout>
          <c:xMode val="edge"/>
          <c:yMode val="edge"/>
          <c:x val="5.4499767592677564E-2"/>
          <c:y val="0.9286379305679574"/>
          <c:w val="0.90166848974206615"/>
          <c:h val="4.9940417241659332E-2"/>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0549685175363"/>
          <c:y val="5.1400554097404488E-2"/>
          <c:w val="0.83729940978880246"/>
          <c:h val="0.6101618547681541"/>
        </c:manualLayout>
      </c:layout>
      <c:lineChart>
        <c:grouping val="standard"/>
        <c:varyColors val="0"/>
        <c:ser>
          <c:idx val="0"/>
          <c:order val="0"/>
          <c:tx>
            <c:strRef>
              <c:f>Combined!$B$1</c:f>
              <c:strCache>
                <c:ptCount val="1"/>
                <c:pt idx="0">
                  <c:v>Neg Pre 6M Performance</c:v>
                </c:pt>
              </c:strCache>
            </c:strRef>
          </c:tx>
          <c:spPr>
            <a:ln>
              <a:prstDash val="sysDash"/>
            </a:ln>
          </c:spPr>
          <c:marker>
            <c:symbol val="none"/>
          </c:marker>
          <c:cat>
            <c:numRef>
              <c:f>Combined!$A$2:$A$58</c:f>
              <c:numCache>
                <c:formatCode>mm/dd/yy</c:formatCode>
                <c:ptCount val="57"/>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numCache>
            </c:numRef>
          </c:cat>
          <c:val>
            <c:numRef>
              <c:f>Combined!$B$2:$B$60</c:f>
              <c:numCache>
                <c:formatCode>0.00%</c:formatCode>
                <c:ptCount val="59"/>
                <c:pt idx="0">
                  <c:v>9.4484084292194792E-2</c:v>
                </c:pt>
                <c:pt idx="1">
                  <c:v>9.0694593210819088E-2</c:v>
                </c:pt>
                <c:pt idx="2">
                  <c:v>3.6854932331750551E-2</c:v>
                </c:pt>
                <c:pt idx="3">
                  <c:v>6.6424517023343052E-2</c:v>
                </c:pt>
                <c:pt idx="4">
                  <c:v>9.421582661987396E-2</c:v>
                </c:pt>
                <c:pt idx="5">
                  <c:v>8.6407369932671452E-2</c:v>
                </c:pt>
                <c:pt idx="6">
                  <c:v>7.6365822680736634E-2</c:v>
                </c:pt>
                <c:pt idx="7">
                  <c:v>6.573615383107502E-2</c:v>
                </c:pt>
                <c:pt idx="8">
                  <c:v>6.9898966947932781E-2</c:v>
                </c:pt>
                <c:pt idx="9">
                  <c:v>6.819577810220194E-2</c:v>
                </c:pt>
                <c:pt idx="10">
                  <c:v>6.92165450810769E-2</c:v>
                </c:pt>
                <c:pt idx="11">
                  <c:v>7.3193922377451662E-2</c:v>
                </c:pt>
                <c:pt idx="12">
                  <c:v>6.7097742145538472E-2</c:v>
                </c:pt>
                <c:pt idx="13">
                  <c:v>5.0094825301202649E-2</c:v>
                </c:pt>
                <c:pt idx="14">
                  <c:v>4.4644571090786803E-2</c:v>
                </c:pt>
                <c:pt idx="15">
                  <c:v>3.1451132373944791E-2</c:v>
                </c:pt>
                <c:pt idx="16">
                  <c:v>1.0817370054382519E-2</c:v>
                </c:pt>
                <c:pt idx="17">
                  <c:v>2.5493439696059588E-2</c:v>
                </c:pt>
                <c:pt idx="18">
                  <c:v>1.7340425886848476E-2</c:v>
                </c:pt>
                <c:pt idx="19">
                  <c:v>3.363659516746443E-2</c:v>
                </c:pt>
                <c:pt idx="20">
                  <c:v>3.033752072077902E-2</c:v>
                </c:pt>
                <c:pt idx="21">
                  <c:v>1.5543321024354021E-2</c:v>
                </c:pt>
                <c:pt idx="22">
                  <c:v>2.7167267099795098E-2</c:v>
                </c:pt>
                <c:pt idx="23">
                  <c:v>2.310408018309755E-2</c:v>
                </c:pt>
                <c:pt idx="24">
                  <c:v>3.0575092926479516E-2</c:v>
                </c:pt>
                <c:pt idx="25">
                  <c:v>1.121928552714971E-2</c:v>
                </c:pt>
                <c:pt idx="26">
                  <c:v>1.818551256640303E-2</c:v>
                </c:pt>
                <c:pt idx="27">
                  <c:v>2.0008857356020565E-2</c:v>
                </c:pt>
                <c:pt idx="28">
                  <c:v>1.8410465472155437E-2</c:v>
                </c:pt>
                <c:pt idx="29">
                  <c:v>4.2600592900794564E-2</c:v>
                </c:pt>
                <c:pt idx="30">
                  <c:v>7.1777181574402799E-2</c:v>
                </c:pt>
                <c:pt idx="31">
                  <c:v>3.8228417134832694E-2</c:v>
                </c:pt>
                <c:pt idx="32">
                  <c:v>2.174318470721805E-2</c:v>
                </c:pt>
                <c:pt idx="33">
                  <c:v>1.6775145780879609E-2</c:v>
                </c:pt>
                <c:pt idx="34">
                  <c:v>1.5501129667888329E-2</c:v>
                </c:pt>
                <c:pt idx="35">
                  <c:v>2.5074593836799452E-2</c:v>
                </c:pt>
                <c:pt idx="36">
                  <c:v>5.197578189817445E-2</c:v>
                </c:pt>
                <c:pt idx="37">
                  <c:v>3.260478185797628E-2</c:v>
                </c:pt>
                <c:pt idx="38">
                  <c:v>1.6101440750595195E-2</c:v>
                </c:pt>
                <c:pt idx="39">
                  <c:v>2.8922638067383721E-2</c:v>
                </c:pt>
                <c:pt idx="40">
                  <c:v>3.6771753504976543E-3</c:v>
                </c:pt>
                <c:pt idx="41">
                  <c:v>-4.8556086363986993E-3</c:v>
                </c:pt>
                <c:pt idx="42">
                  <c:v>8.2388379244258906E-3</c:v>
                </c:pt>
                <c:pt idx="43">
                  <c:v>-7.929229479057812E-3</c:v>
                </c:pt>
                <c:pt idx="44">
                  <c:v>7.1446807268550966E-3</c:v>
                </c:pt>
                <c:pt idx="45">
                  <c:v>-1.1179070195680105E-2</c:v>
                </c:pt>
                <c:pt idx="46">
                  <c:v>-9.2637947847388647E-3</c:v>
                </c:pt>
                <c:pt idx="47">
                  <c:v>-2.4199715724638901E-2</c:v>
                </c:pt>
                <c:pt idx="48">
                  <c:v>-3.3733320020697122E-2</c:v>
                </c:pt>
                <c:pt idx="49">
                  <c:v>-2.759381439436033E-2</c:v>
                </c:pt>
                <c:pt idx="50">
                  <c:v>-4.3242002027536676E-2</c:v>
                </c:pt>
                <c:pt idx="51">
                  <c:v>-4.4413592600228806E-2</c:v>
                </c:pt>
                <c:pt idx="52">
                  <c:v>-4.1741598045377706E-2</c:v>
                </c:pt>
                <c:pt idx="53">
                  <c:v>-4.7603130793792692E-2</c:v>
                </c:pt>
                <c:pt idx="54">
                  <c:v>-5.1866961637678871E-2</c:v>
                </c:pt>
                <c:pt idx="55">
                  <c:v>-4.824214685328318E-2</c:v>
                </c:pt>
                <c:pt idx="56">
                  <c:v>-5.0068915867185114E-2</c:v>
                </c:pt>
                <c:pt idx="57">
                  <c:v>-6.9638521281513738E-2</c:v>
                </c:pt>
              </c:numCache>
            </c:numRef>
          </c:val>
          <c:smooth val="0"/>
        </c:ser>
        <c:ser>
          <c:idx val="1"/>
          <c:order val="1"/>
          <c:tx>
            <c:strRef>
              <c:f>Combined!$C$1</c:f>
              <c:strCache>
                <c:ptCount val="1"/>
                <c:pt idx="0">
                  <c:v>Pos Pre 6M Performance</c:v>
                </c:pt>
              </c:strCache>
            </c:strRef>
          </c:tx>
          <c:spPr>
            <a:ln>
              <a:prstDash val="sysDash"/>
            </a:ln>
          </c:spPr>
          <c:marker>
            <c:symbol val="none"/>
          </c:marker>
          <c:cat>
            <c:numRef>
              <c:f>Combined!$A$2:$A$58</c:f>
              <c:numCache>
                <c:formatCode>mm/dd/yy</c:formatCode>
                <c:ptCount val="57"/>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numCache>
            </c:numRef>
          </c:cat>
          <c:val>
            <c:numRef>
              <c:f>Combined!$C$2:$C$60</c:f>
              <c:numCache>
                <c:formatCode>0.00%</c:formatCode>
                <c:ptCount val="59"/>
                <c:pt idx="0">
                  <c:v>7.3804267756093583E-2</c:v>
                </c:pt>
                <c:pt idx="1">
                  <c:v>9.3767234543600142E-2</c:v>
                </c:pt>
                <c:pt idx="2">
                  <c:v>7.7062988116129827E-2</c:v>
                </c:pt>
                <c:pt idx="3">
                  <c:v>8.5430695451243141E-2</c:v>
                </c:pt>
                <c:pt idx="4">
                  <c:v>0.10639858824907919</c:v>
                </c:pt>
                <c:pt idx="5">
                  <c:v>0.11307366998871188</c:v>
                </c:pt>
                <c:pt idx="6">
                  <c:v>0.10647527869785035</c:v>
                </c:pt>
                <c:pt idx="7">
                  <c:v>0.10922453858413331</c:v>
                </c:pt>
                <c:pt idx="8">
                  <c:v>0.11326428175884688</c:v>
                </c:pt>
                <c:pt idx="9">
                  <c:v>0.12233223606342007</c:v>
                </c:pt>
                <c:pt idx="10">
                  <c:v>0.12197802126451106</c:v>
                </c:pt>
                <c:pt idx="11">
                  <c:v>0.14586689267021835</c:v>
                </c:pt>
                <c:pt idx="12">
                  <c:v>0.16241391517850121</c:v>
                </c:pt>
                <c:pt idx="13">
                  <c:v>0.15913825751602539</c:v>
                </c:pt>
                <c:pt idx="14">
                  <c:v>0.15427473333356806</c:v>
                </c:pt>
                <c:pt idx="15">
                  <c:v>0.13949327267429648</c:v>
                </c:pt>
                <c:pt idx="16">
                  <c:v>0.11069656890874119</c:v>
                </c:pt>
                <c:pt idx="17">
                  <c:v>0.11844551348224856</c:v>
                </c:pt>
                <c:pt idx="18">
                  <c:v>0.1225920171021555</c:v>
                </c:pt>
                <c:pt idx="19">
                  <c:v>0.12384340325002886</c:v>
                </c:pt>
                <c:pt idx="20">
                  <c:v>0.1290230578752479</c:v>
                </c:pt>
                <c:pt idx="21">
                  <c:v>0.12531292757858509</c:v>
                </c:pt>
                <c:pt idx="22">
                  <c:v>0.14040061873703363</c:v>
                </c:pt>
                <c:pt idx="23">
                  <c:v>0.14088636235595342</c:v>
                </c:pt>
                <c:pt idx="24">
                  <c:v>0.14724441699355295</c:v>
                </c:pt>
                <c:pt idx="25">
                  <c:v>0.13779189403948094</c:v>
                </c:pt>
                <c:pt idx="26">
                  <c:v>0.1557684370564231</c:v>
                </c:pt>
                <c:pt idx="27">
                  <c:v>0.15731651546678457</c:v>
                </c:pt>
                <c:pt idx="28">
                  <c:v>0.15805094993826485</c:v>
                </c:pt>
                <c:pt idx="29">
                  <c:v>0.17850742316765372</c:v>
                </c:pt>
                <c:pt idx="30">
                  <c:v>0.18851169824278904</c:v>
                </c:pt>
                <c:pt idx="31">
                  <c:v>0.19085807512718028</c:v>
                </c:pt>
                <c:pt idx="32">
                  <c:v>0.18919054222168213</c:v>
                </c:pt>
                <c:pt idx="33">
                  <c:v>0.18112135066140542</c:v>
                </c:pt>
                <c:pt idx="34">
                  <c:v>0.17001500314112308</c:v>
                </c:pt>
                <c:pt idx="35">
                  <c:v>0.17028067780354261</c:v>
                </c:pt>
                <c:pt idx="36">
                  <c:v>0.17051732219871346</c:v>
                </c:pt>
                <c:pt idx="37">
                  <c:v>0.16580702840855241</c:v>
                </c:pt>
                <c:pt idx="38">
                  <c:v>0.16802338706988579</c:v>
                </c:pt>
                <c:pt idx="39">
                  <c:v>0.16450664719734892</c:v>
                </c:pt>
                <c:pt idx="40">
                  <c:v>0.16049236646319762</c:v>
                </c:pt>
                <c:pt idx="41">
                  <c:v>0.13642730649275597</c:v>
                </c:pt>
                <c:pt idx="42">
                  <c:v>0.14069267354446646</c:v>
                </c:pt>
                <c:pt idx="43">
                  <c:v>0.12211705727007352</c:v>
                </c:pt>
                <c:pt idx="44">
                  <c:v>0.14189144734748838</c:v>
                </c:pt>
                <c:pt idx="45">
                  <c:v>0.12578405414867055</c:v>
                </c:pt>
                <c:pt idx="46">
                  <c:v>0.13641343481784773</c:v>
                </c:pt>
                <c:pt idx="47">
                  <c:v>0.12651509897533988</c:v>
                </c:pt>
                <c:pt idx="48">
                  <c:v>0.11974546550663261</c:v>
                </c:pt>
                <c:pt idx="49">
                  <c:v>0.12278268306437216</c:v>
                </c:pt>
                <c:pt idx="50">
                  <c:v>0.11147610557477182</c:v>
                </c:pt>
                <c:pt idx="51">
                  <c:v>0.11152266016624832</c:v>
                </c:pt>
                <c:pt idx="52">
                  <c:v>0.12041350312451643</c:v>
                </c:pt>
                <c:pt idx="53">
                  <c:v>0.11691155339813966</c:v>
                </c:pt>
                <c:pt idx="54">
                  <c:v>0.11503541582280917</c:v>
                </c:pt>
                <c:pt idx="55">
                  <c:v>0.13780155768827002</c:v>
                </c:pt>
                <c:pt idx="56">
                  <c:v>0.14801303468804741</c:v>
                </c:pt>
                <c:pt idx="57">
                  <c:v>0.13726314011598856</c:v>
                </c:pt>
              </c:numCache>
            </c:numRef>
          </c:val>
          <c:smooth val="0"/>
        </c:ser>
        <c:ser>
          <c:idx val="2"/>
          <c:order val="2"/>
          <c:tx>
            <c:strRef>
              <c:f>Combined!$D$1</c:f>
              <c:strCache>
                <c:ptCount val="1"/>
                <c:pt idx="0">
                  <c:v>Aggregate</c:v>
                </c:pt>
              </c:strCache>
            </c:strRef>
          </c:tx>
          <c:spPr>
            <a:ln>
              <a:solidFill>
                <a:srgbClr val="00B050"/>
              </a:solidFill>
              <a:prstDash val="sysDash"/>
            </a:ln>
          </c:spPr>
          <c:marker>
            <c:symbol val="none"/>
          </c:marker>
          <c:cat>
            <c:numRef>
              <c:f>Combined!$A$2:$A$58</c:f>
              <c:numCache>
                <c:formatCode>mm/dd/yy</c:formatCode>
                <c:ptCount val="57"/>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numCache>
            </c:numRef>
          </c:cat>
          <c:val>
            <c:numRef>
              <c:f>Combined!$D$2:$D$58</c:f>
              <c:numCache>
                <c:formatCode>0.00%</c:formatCode>
                <c:ptCount val="57"/>
                <c:pt idx="0">
                  <c:v>9.134593281024754E-2</c:v>
                </c:pt>
                <c:pt idx="1">
                  <c:v>9.6400042492620602E-2</c:v>
                </c:pt>
                <c:pt idx="2">
                  <c:v>3.4108530143704026E-2</c:v>
                </c:pt>
                <c:pt idx="3">
                  <c:v>7.9214809823416707E-2</c:v>
                </c:pt>
                <c:pt idx="4">
                  <c:v>0.1073637336230264</c:v>
                </c:pt>
                <c:pt idx="5">
                  <c:v>8.0565855141189233E-2</c:v>
                </c:pt>
                <c:pt idx="6">
                  <c:v>6.9845399849895087E-2</c:v>
                </c:pt>
                <c:pt idx="7">
                  <c:v>6.6073349379664026E-2</c:v>
                </c:pt>
                <c:pt idx="8">
                  <c:v>7.9095962286097971E-2</c:v>
                </c:pt>
                <c:pt idx="9">
                  <c:v>8.0350402456431713E-2</c:v>
                </c:pt>
                <c:pt idx="10">
                  <c:v>8.8322280706607623E-2</c:v>
                </c:pt>
                <c:pt idx="11">
                  <c:v>0.10420507105868761</c:v>
                </c:pt>
                <c:pt idx="12">
                  <c:v>0.10158377984086159</c:v>
                </c:pt>
                <c:pt idx="13">
                  <c:v>9.4444321939525344E-2</c:v>
                </c:pt>
                <c:pt idx="14">
                  <c:v>8.4707034765805433E-2</c:v>
                </c:pt>
                <c:pt idx="15">
                  <c:v>5.8227082264284441E-2</c:v>
                </c:pt>
                <c:pt idx="16">
                  <c:v>4.8865078045987359E-2</c:v>
                </c:pt>
                <c:pt idx="17">
                  <c:v>5.5420638452591917E-2</c:v>
                </c:pt>
                <c:pt idx="18">
                  <c:v>6.2379404091363479E-2</c:v>
                </c:pt>
                <c:pt idx="19">
                  <c:v>7.0254973627724593E-2</c:v>
                </c:pt>
                <c:pt idx="20">
                  <c:v>6.2025084211240998E-2</c:v>
                </c:pt>
                <c:pt idx="21">
                  <c:v>4.1460566485094115E-2</c:v>
                </c:pt>
                <c:pt idx="22">
                  <c:v>5.4179299986817912E-2</c:v>
                </c:pt>
                <c:pt idx="23">
                  <c:v>5.6519177907276022E-2</c:v>
                </c:pt>
                <c:pt idx="24">
                  <c:v>5.2953490872905525E-2</c:v>
                </c:pt>
                <c:pt idx="25">
                  <c:v>3.7142247937333908E-2</c:v>
                </c:pt>
                <c:pt idx="26">
                  <c:v>6.5963737163985209E-2</c:v>
                </c:pt>
                <c:pt idx="27">
                  <c:v>5.9266572180443643E-2</c:v>
                </c:pt>
                <c:pt idx="28">
                  <c:v>7.2022038584868261E-2</c:v>
                </c:pt>
                <c:pt idx="29">
                  <c:v>7.6653859361429974E-2</c:v>
                </c:pt>
                <c:pt idx="30">
                  <c:v>6.6502752182593369E-2</c:v>
                </c:pt>
                <c:pt idx="31">
                  <c:v>5.2585736755405961E-2</c:v>
                </c:pt>
                <c:pt idx="32">
                  <c:v>7.5204486969182763E-2</c:v>
                </c:pt>
                <c:pt idx="33">
                  <c:v>7.1574169157686995E-2</c:v>
                </c:pt>
                <c:pt idx="34">
                  <c:v>5.7704883230756031E-2</c:v>
                </c:pt>
                <c:pt idx="35">
                  <c:v>7.7368884356324788E-2</c:v>
                </c:pt>
                <c:pt idx="36">
                  <c:v>7.4727946808679876E-2</c:v>
                </c:pt>
                <c:pt idx="37">
                  <c:v>6.6628293240168585E-2</c:v>
                </c:pt>
                <c:pt idx="38">
                  <c:v>7.4546122197298198E-2</c:v>
                </c:pt>
                <c:pt idx="39">
                  <c:v>7.1233699107008192E-2</c:v>
                </c:pt>
                <c:pt idx="40">
                  <c:v>6.7239166885434437E-2</c:v>
                </c:pt>
                <c:pt idx="41">
                  <c:v>6.1065025745085655E-2</c:v>
                </c:pt>
                <c:pt idx="42">
                  <c:v>6.2576080464012598E-2</c:v>
                </c:pt>
                <c:pt idx="43">
                  <c:v>3.6742072290581074E-2</c:v>
                </c:pt>
                <c:pt idx="44">
                  <c:v>5.5898909171257144E-2</c:v>
                </c:pt>
                <c:pt idx="45">
                  <c:v>3.6092819053951772E-2</c:v>
                </c:pt>
                <c:pt idx="46">
                  <c:v>4.9362849706827673E-2</c:v>
                </c:pt>
                <c:pt idx="47">
                  <c:v>4.4006055510821859E-2</c:v>
                </c:pt>
                <c:pt idx="48">
                  <c:v>2.556098918762453E-2</c:v>
                </c:pt>
                <c:pt idx="49">
                  <c:v>1.6529356643767205E-2</c:v>
                </c:pt>
                <c:pt idx="50">
                  <c:v>-1.9374093673858438E-4</c:v>
                </c:pt>
                <c:pt idx="51">
                  <c:v>-3.8612029361387123E-3</c:v>
                </c:pt>
                <c:pt idx="52">
                  <c:v>1.2093488742707052E-3</c:v>
                </c:pt>
                <c:pt idx="53">
                  <c:v>2.3708966452450158E-3</c:v>
                </c:pt>
                <c:pt idx="54">
                  <c:v>-2.5476478805023335E-3</c:v>
                </c:pt>
                <c:pt idx="55">
                  <c:v>2.3797352088476078E-2</c:v>
                </c:pt>
                <c:pt idx="56">
                  <c:v>2.2100879447825374E-2</c:v>
                </c:pt>
              </c:numCache>
            </c:numRef>
          </c:val>
          <c:smooth val="0"/>
        </c:ser>
        <c:dLbls>
          <c:showLegendKey val="0"/>
          <c:showVal val="0"/>
          <c:showCatName val="0"/>
          <c:showSerName val="0"/>
          <c:showPercent val="0"/>
          <c:showBubbleSize val="0"/>
        </c:dLbls>
        <c:marker val="1"/>
        <c:smooth val="0"/>
        <c:axId val="252140032"/>
        <c:axId val="206929216"/>
      </c:lineChart>
      <c:dateAx>
        <c:axId val="252140032"/>
        <c:scaling>
          <c:orientation val="minMax"/>
        </c:scaling>
        <c:delete val="0"/>
        <c:axPos val="b"/>
        <c:numFmt formatCode="mm/dd/yy" sourceLinked="1"/>
        <c:majorTickMark val="out"/>
        <c:minorTickMark val="none"/>
        <c:tickLblPos val="nextTo"/>
        <c:crossAx val="206929216"/>
        <c:crossesAt val="-0.1"/>
        <c:auto val="1"/>
        <c:lblOffset val="100"/>
        <c:baseTimeUnit val="days"/>
      </c:dateAx>
      <c:valAx>
        <c:axId val="206929216"/>
        <c:scaling>
          <c:orientation val="minMax"/>
        </c:scaling>
        <c:delete val="0"/>
        <c:axPos val="l"/>
        <c:majorGridlines/>
        <c:title>
          <c:tx>
            <c:rich>
              <a:bodyPr rot="-5400000" vert="horz"/>
              <a:lstStyle/>
              <a:p>
                <a:pPr>
                  <a:defRPr/>
                </a:pPr>
                <a:r>
                  <a:rPr lang="en-CA" sz="1050">
                    <a:latin typeface="Times New Roman" pitchFamily="18" charset="0"/>
                    <a:cs typeface="Times New Roman" pitchFamily="18" charset="0"/>
                  </a:rPr>
                  <a:t>Cumulative</a:t>
                </a:r>
                <a:r>
                  <a:rPr lang="en-CA" sz="1050" baseline="0">
                    <a:latin typeface="Times New Roman" pitchFamily="18" charset="0"/>
                    <a:cs typeface="Times New Roman" pitchFamily="18" charset="0"/>
                  </a:rPr>
                  <a:t> Difference</a:t>
                </a:r>
                <a:endParaRPr lang="en-CA" sz="1050">
                  <a:latin typeface="Times New Roman" pitchFamily="18" charset="0"/>
                  <a:cs typeface="Times New Roman" pitchFamily="18" charset="0"/>
                </a:endParaRPr>
              </a:p>
            </c:rich>
          </c:tx>
          <c:overlay val="0"/>
        </c:title>
        <c:numFmt formatCode="0%" sourceLinked="0"/>
        <c:majorTickMark val="out"/>
        <c:minorTickMark val="none"/>
        <c:tickLblPos val="nextTo"/>
        <c:crossAx val="252140032"/>
        <c:crosses val="autoZero"/>
        <c:crossBetween val="between"/>
      </c:valAx>
    </c:plotArea>
    <c:legend>
      <c:legendPos val="r"/>
      <c:layout>
        <c:manualLayout>
          <c:xMode val="edge"/>
          <c:yMode val="edge"/>
          <c:x val="6.3394836331987003E-2"/>
          <c:y val="0.89294254884806057"/>
          <c:w val="0.90422174397889399"/>
          <c:h val="8.4484908136482975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169595449838062E-2"/>
          <c:y val="6.2044813842714104E-2"/>
          <c:w val="0.86843160784442663"/>
          <c:h val="0.59195975503062059"/>
        </c:manualLayout>
      </c:layout>
      <c:lineChart>
        <c:grouping val="standard"/>
        <c:varyColors val="0"/>
        <c:ser>
          <c:idx val="0"/>
          <c:order val="0"/>
          <c:tx>
            <c:strRef>
              <c:f>'t stat graph'!$B$1</c:f>
              <c:strCache>
                <c:ptCount val="1"/>
                <c:pt idx="0">
                  <c:v>Standard</c:v>
                </c:pt>
              </c:strCache>
            </c:strRef>
          </c:tx>
          <c:spPr>
            <a:ln>
              <a:prstDash val="sysDash"/>
            </a:ln>
          </c:spPr>
          <c:marker>
            <c:symbol val="none"/>
          </c:marker>
          <c:cat>
            <c:numRef>
              <c:f>'t stat graph'!$A$2:$A$59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't stat graph'!$B$2:$B$59</c:f>
              <c:numCache>
                <c:formatCode>General</c:formatCode>
                <c:ptCount val="58"/>
                <c:pt idx="0">
                  <c:v>12.313243748216705</c:v>
                </c:pt>
                <c:pt idx="1">
                  <c:v>12.255517822621734</c:v>
                </c:pt>
                <c:pt idx="2">
                  <c:v>5.0183171820857888</c:v>
                </c:pt>
                <c:pt idx="3">
                  <c:v>11.566810883153831</c:v>
                </c:pt>
                <c:pt idx="4">
                  <c:v>14.877782049962727</c:v>
                </c:pt>
                <c:pt idx="5">
                  <c:v>10.718872629693076</c:v>
                </c:pt>
                <c:pt idx="6">
                  <c:v>9.5698078728270772</c:v>
                </c:pt>
                <c:pt idx="7">
                  <c:v>9.0503426478774998</c:v>
                </c:pt>
                <c:pt idx="8">
                  <c:v>10.634895797511248</c:v>
                </c:pt>
                <c:pt idx="9">
                  <c:v>10.089350171747853</c:v>
                </c:pt>
                <c:pt idx="10">
                  <c:v>10.787863584612447</c:v>
                </c:pt>
                <c:pt idx="11">
                  <c:v>13.144111485160696</c:v>
                </c:pt>
                <c:pt idx="12">
                  <c:v>12.0190417746681</c:v>
                </c:pt>
                <c:pt idx="13">
                  <c:v>11.774352182566748</c:v>
                </c:pt>
                <c:pt idx="14">
                  <c:v>10.778833162333948</c:v>
                </c:pt>
                <c:pt idx="15">
                  <c:v>7.1385806246498342</c:v>
                </c:pt>
                <c:pt idx="16">
                  <c:v>5.9028091847304083</c:v>
                </c:pt>
                <c:pt idx="17">
                  <c:v>7.0316776391583424</c:v>
                </c:pt>
                <c:pt idx="18">
                  <c:v>8.149112989503303</c:v>
                </c:pt>
                <c:pt idx="19">
                  <c:v>9.2028159804167089</c:v>
                </c:pt>
                <c:pt idx="20">
                  <c:v>7.7664908294933328</c:v>
                </c:pt>
                <c:pt idx="21">
                  <c:v>5.4354175752730125</c:v>
                </c:pt>
                <c:pt idx="22">
                  <c:v>6.7437898823161424</c:v>
                </c:pt>
                <c:pt idx="23">
                  <c:v>6.7124408717925785</c:v>
                </c:pt>
                <c:pt idx="24">
                  <c:v>6.10173323878014</c:v>
                </c:pt>
                <c:pt idx="25">
                  <c:v>4.2636613748537018</c:v>
                </c:pt>
                <c:pt idx="26">
                  <c:v>7.6133387277229785</c:v>
                </c:pt>
                <c:pt idx="27">
                  <c:v>6.5398502720788043</c:v>
                </c:pt>
                <c:pt idx="28">
                  <c:v>7.928977894040278</c:v>
                </c:pt>
                <c:pt idx="29">
                  <c:v>8.0452479441908089</c:v>
                </c:pt>
                <c:pt idx="30">
                  <c:v>6.6002534175911984</c:v>
                </c:pt>
                <c:pt idx="31">
                  <c:v>5.1685307725892207</c:v>
                </c:pt>
                <c:pt idx="32">
                  <c:v>7.8229294208728515</c:v>
                </c:pt>
                <c:pt idx="33">
                  <c:v>7.5312362213508734</c:v>
                </c:pt>
                <c:pt idx="34">
                  <c:v>6.1141282721181254</c:v>
                </c:pt>
                <c:pt idx="35">
                  <c:v>8.3010417049264689</c:v>
                </c:pt>
                <c:pt idx="36">
                  <c:v>8.1024188607125183</c:v>
                </c:pt>
                <c:pt idx="37">
                  <c:v>7.1976747888278965</c:v>
                </c:pt>
                <c:pt idx="38">
                  <c:v>8.0084507827039957</c:v>
                </c:pt>
                <c:pt idx="39">
                  <c:v>7.5879639466675846</c:v>
                </c:pt>
                <c:pt idx="40">
                  <c:v>7.5811219328617874</c:v>
                </c:pt>
                <c:pt idx="41">
                  <c:v>6.9850042435733704</c:v>
                </c:pt>
                <c:pt idx="42">
                  <c:v>7.2273254792673445</c:v>
                </c:pt>
                <c:pt idx="43">
                  <c:v>4.2052241292462416</c:v>
                </c:pt>
                <c:pt idx="44">
                  <c:v>6.3960764514087698</c:v>
                </c:pt>
                <c:pt idx="45">
                  <c:v>4.0972102991093253</c:v>
                </c:pt>
                <c:pt idx="46">
                  <c:v>5.56678890914284</c:v>
                </c:pt>
                <c:pt idx="47">
                  <c:v>5.0207868131221662</c:v>
                </c:pt>
                <c:pt idx="48">
                  <c:v>2.8362118161357435</c:v>
                </c:pt>
                <c:pt idx="49">
                  <c:v>1.8266285551423498</c:v>
                </c:pt>
                <c:pt idx="50">
                  <c:v>-2.1439562062841411E-2</c:v>
                </c:pt>
                <c:pt idx="51">
                  <c:v>-0.41963844034613113</c:v>
                </c:pt>
                <c:pt idx="52">
                  <c:v>0.12925669290003375</c:v>
                </c:pt>
                <c:pt idx="53">
                  <c:v>0.2564432121514521</c:v>
                </c:pt>
                <c:pt idx="54">
                  <c:v>-0.27189608435086293</c:v>
                </c:pt>
                <c:pt idx="55">
                  <c:v>2.5094409678651908</c:v>
                </c:pt>
                <c:pt idx="56">
                  <c:v>2.3503890526042541</c:v>
                </c:pt>
                <c:pt idx="57">
                  <c:v>1.010408323924822</c:v>
                </c:pt>
              </c:numCache>
            </c:numRef>
          </c:val>
          <c:smooth val="0"/>
        </c:ser>
        <c:ser>
          <c:idx val="1"/>
          <c:order val="1"/>
          <c:tx>
            <c:strRef>
              <c:f>'t stat graph'!$C$1</c:f>
              <c:strCache>
                <c:ptCount val="1"/>
                <c:pt idx="0">
                  <c:v>Cross-Sectional</c:v>
                </c:pt>
              </c:strCache>
            </c:strRef>
          </c:tx>
          <c:spPr>
            <a:ln>
              <a:prstDash val="sysDash"/>
            </a:ln>
          </c:spPr>
          <c:marker>
            <c:symbol val="none"/>
          </c:marker>
          <c:cat>
            <c:numRef>
              <c:f>'t stat graph'!$A$2:$A$59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't stat graph'!$C$2:$C$59</c:f>
              <c:numCache>
                <c:formatCode>General</c:formatCode>
                <c:ptCount val="58"/>
                <c:pt idx="0">
                  <c:v>14.821815396302252</c:v>
                </c:pt>
                <c:pt idx="1">
                  <c:v>15.81382285245807</c:v>
                </c:pt>
                <c:pt idx="2">
                  <c:v>5.2788957550794162</c:v>
                </c:pt>
                <c:pt idx="3">
                  <c:v>12.933234270478001</c:v>
                </c:pt>
                <c:pt idx="4">
                  <c:v>16.988051473633824</c:v>
                </c:pt>
                <c:pt idx="5">
                  <c:v>10.852295595544192</c:v>
                </c:pt>
                <c:pt idx="6">
                  <c:v>9.2391043902409056</c:v>
                </c:pt>
                <c:pt idx="7">
                  <c:v>8.5815066380058767</c:v>
                </c:pt>
                <c:pt idx="8">
                  <c:v>10.574966040221751</c:v>
                </c:pt>
                <c:pt idx="9">
                  <c:v>9.5458192223732468</c:v>
                </c:pt>
                <c:pt idx="10">
                  <c:v>10.502351231184166</c:v>
                </c:pt>
                <c:pt idx="11">
                  <c:v>12.724331950102348</c:v>
                </c:pt>
                <c:pt idx="12">
                  <c:v>11.457286759042361</c:v>
                </c:pt>
                <c:pt idx="13">
                  <c:v>10.504606297066292</c:v>
                </c:pt>
                <c:pt idx="14">
                  <c:v>9.5296530913034498</c:v>
                </c:pt>
                <c:pt idx="15">
                  <c:v>5.6843724043272967</c:v>
                </c:pt>
                <c:pt idx="16">
                  <c:v>4.6042676353973579</c:v>
                </c:pt>
                <c:pt idx="17">
                  <c:v>5.7825465739606505</c:v>
                </c:pt>
                <c:pt idx="18">
                  <c:v>7.0889973632248404</c:v>
                </c:pt>
                <c:pt idx="19">
                  <c:v>8.1414096822088187</c:v>
                </c:pt>
                <c:pt idx="20">
                  <c:v>6.6110922379990855</c:v>
                </c:pt>
                <c:pt idx="21">
                  <c:v>3.9343604530046377</c:v>
                </c:pt>
                <c:pt idx="22">
                  <c:v>5.1154418454988964</c:v>
                </c:pt>
                <c:pt idx="23">
                  <c:v>4.7764304684604264</c:v>
                </c:pt>
                <c:pt idx="24">
                  <c:v>4.1274960040617357</c:v>
                </c:pt>
                <c:pt idx="25">
                  <c:v>2.7413424423321056</c:v>
                </c:pt>
                <c:pt idx="26">
                  <c:v>5.6919706236122876</c:v>
                </c:pt>
                <c:pt idx="27">
                  <c:v>4.8683842646326445</c:v>
                </c:pt>
                <c:pt idx="28">
                  <c:v>6.2123024318271494</c:v>
                </c:pt>
                <c:pt idx="29">
                  <c:v>6.0857844074783465</c:v>
                </c:pt>
                <c:pt idx="30">
                  <c:v>4.4167142580142755</c:v>
                </c:pt>
                <c:pt idx="31">
                  <c:v>3.286099092448171</c:v>
                </c:pt>
                <c:pt idx="32">
                  <c:v>5.3086209140901524</c:v>
                </c:pt>
                <c:pt idx="33">
                  <c:v>5.0873060995335724</c:v>
                </c:pt>
                <c:pt idx="34">
                  <c:v>3.6695595303134203</c:v>
                </c:pt>
                <c:pt idx="35">
                  <c:v>5.7852166782013885</c:v>
                </c:pt>
                <c:pt idx="36">
                  <c:v>5.7095208859774784</c:v>
                </c:pt>
                <c:pt idx="37">
                  <c:v>5.1547714705685852</c:v>
                </c:pt>
                <c:pt idx="38">
                  <c:v>5.8043660811052415</c:v>
                </c:pt>
                <c:pt idx="39">
                  <c:v>5.4893159406943894</c:v>
                </c:pt>
                <c:pt idx="40">
                  <c:v>5.5114672099520892</c:v>
                </c:pt>
                <c:pt idx="41">
                  <c:v>4.9657749907448414</c:v>
                </c:pt>
                <c:pt idx="42">
                  <c:v>4.8372409717063736</c:v>
                </c:pt>
                <c:pt idx="43">
                  <c:v>2.2925016158714646</c:v>
                </c:pt>
                <c:pt idx="44">
                  <c:v>3.9752517717732583</c:v>
                </c:pt>
                <c:pt idx="45">
                  <c:v>2.1808937578282852</c:v>
                </c:pt>
                <c:pt idx="46">
                  <c:v>3.4775382287285916</c:v>
                </c:pt>
                <c:pt idx="47">
                  <c:v>3.0289514144647507</c:v>
                </c:pt>
                <c:pt idx="48">
                  <c:v>0.90553465218808171</c:v>
                </c:pt>
                <c:pt idx="49">
                  <c:v>-0.23212225664085687</c:v>
                </c:pt>
                <c:pt idx="50">
                  <c:v>-1.7126727635243117</c:v>
                </c:pt>
                <c:pt idx="51">
                  <c:v>-1.9843618806635641</c:v>
                </c:pt>
                <c:pt idx="52">
                  <c:v>-1.4140304805292458</c:v>
                </c:pt>
                <c:pt idx="53">
                  <c:v>-1.3640132724416005</c:v>
                </c:pt>
                <c:pt idx="54">
                  <c:v>-1.8891825154825721</c:v>
                </c:pt>
                <c:pt idx="55">
                  <c:v>0.54490407476989045</c:v>
                </c:pt>
                <c:pt idx="56">
                  <c:v>0.3612736662211033</c:v>
                </c:pt>
                <c:pt idx="57">
                  <c:v>-0.86372395908608823</c:v>
                </c:pt>
              </c:numCache>
            </c:numRef>
          </c:val>
          <c:smooth val="0"/>
        </c:ser>
        <c:ser>
          <c:idx val="2"/>
          <c:order val="2"/>
          <c:tx>
            <c:strRef>
              <c:f>'t stat graph'!$D$1</c:f>
              <c:strCache>
                <c:ptCount val="1"/>
              </c:strCache>
            </c:strRef>
          </c:tx>
          <c:spPr>
            <a:ln>
              <a:solidFill>
                <a:schemeClr val="tx1"/>
              </a:solidFill>
              <a:prstDash val="sysDot"/>
            </a:ln>
          </c:spPr>
          <c:marker>
            <c:symbol val="none"/>
          </c:marker>
          <c:cat>
            <c:numRef>
              <c:f>'t stat graph'!$A$2:$A$59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't stat graph'!$D$2:$D$59</c:f>
              <c:numCache>
                <c:formatCode>General</c:formatCode>
                <c:ptCount val="58"/>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numCache>
            </c:numRef>
          </c:val>
          <c:smooth val="0"/>
        </c:ser>
        <c:ser>
          <c:idx val="3"/>
          <c:order val="3"/>
          <c:tx>
            <c:strRef>
              <c:f>'t stat graph'!$E$1</c:f>
              <c:strCache>
                <c:ptCount val="1"/>
              </c:strCache>
            </c:strRef>
          </c:tx>
          <c:spPr>
            <a:ln>
              <a:solidFill>
                <a:prstClr val="black"/>
              </a:solidFill>
              <a:prstDash val="sysDot"/>
            </a:ln>
          </c:spPr>
          <c:marker>
            <c:symbol val="none"/>
          </c:marker>
          <c:cat>
            <c:numRef>
              <c:f>'t stat graph'!$A$2:$A$59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't stat graph'!$E$2:$E$59</c:f>
              <c:numCache>
                <c:formatCode>General</c:formatCode>
                <c:ptCount val="58"/>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numCache>
            </c:numRef>
          </c:val>
          <c:smooth val="0"/>
        </c:ser>
        <c:dLbls>
          <c:showLegendKey val="0"/>
          <c:showVal val="0"/>
          <c:showCatName val="0"/>
          <c:showSerName val="0"/>
          <c:showPercent val="0"/>
          <c:showBubbleSize val="0"/>
        </c:dLbls>
        <c:marker val="1"/>
        <c:smooth val="0"/>
        <c:axId val="244231168"/>
        <c:axId val="242944256"/>
      </c:lineChart>
      <c:dateAx>
        <c:axId val="244231168"/>
        <c:scaling>
          <c:orientation val="minMax"/>
        </c:scaling>
        <c:delete val="0"/>
        <c:axPos val="b"/>
        <c:numFmt formatCode="mm/dd/yy" sourceLinked="0"/>
        <c:majorTickMark val="out"/>
        <c:minorTickMark val="none"/>
        <c:tickLblPos val="nextTo"/>
        <c:txPr>
          <a:bodyPr rot="-2700000"/>
          <a:lstStyle/>
          <a:p>
            <a:pPr>
              <a:defRPr/>
            </a:pPr>
            <a:endParaRPr lang="en-US"/>
          </a:p>
        </c:txPr>
        <c:crossAx val="242944256"/>
        <c:crossesAt val="-5"/>
        <c:auto val="1"/>
        <c:lblOffset val="100"/>
        <c:baseTimeUnit val="days"/>
      </c:dateAx>
      <c:valAx>
        <c:axId val="242944256"/>
        <c:scaling>
          <c:orientation val="minMax"/>
        </c:scaling>
        <c:delete val="0"/>
        <c:axPos val="l"/>
        <c:majorGridlines/>
        <c:title>
          <c:tx>
            <c:rich>
              <a:bodyPr rot="-5400000" vert="horz"/>
              <a:lstStyle/>
              <a:p>
                <a:pPr>
                  <a:defRPr/>
                </a:pPr>
                <a:r>
                  <a:rPr lang="en-US" sz="1050" i="0">
                    <a:latin typeface="Times New Roman" pitchFamily="18" charset="0"/>
                    <a:cs typeface="Times New Roman" pitchFamily="18" charset="0"/>
                  </a:rPr>
                  <a:t>Test</a:t>
                </a:r>
                <a:r>
                  <a:rPr lang="en-US" sz="1050">
                    <a:latin typeface="Times New Roman" pitchFamily="18" charset="0"/>
                    <a:cs typeface="Times New Roman" pitchFamily="18" charset="0"/>
                  </a:rPr>
                  <a:t> Statistic</a:t>
                </a:r>
              </a:p>
            </c:rich>
          </c:tx>
          <c:layout>
            <c:manualLayout>
              <c:xMode val="edge"/>
              <c:yMode val="edge"/>
              <c:x val="9.7418615992416503E-3"/>
              <c:y val="0.22271604938271641"/>
            </c:manualLayout>
          </c:layout>
          <c:overlay val="0"/>
        </c:title>
        <c:numFmt formatCode="General" sourceLinked="1"/>
        <c:majorTickMark val="out"/>
        <c:minorTickMark val="none"/>
        <c:tickLblPos val="nextTo"/>
        <c:crossAx val="244231168"/>
        <c:crosses val="autoZero"/>
        <c:crossBetween val="between"/>
      </c:valAx>
    </c:plotArea>
    <c:legend>
      <c:legendPos val="r"/>
      <c:legendEntry>
        <c:idx val="2"/>
        <c:delete val="1"/>
      </c:legendEntry>
      <c:legendEntry>
        <c:idx val="3"/>
        <c:delete val="1"/>
      </c:legendEntry>
      <c:layout>
        <c:manualLayout>
          <c:xMode val="edge"/>
          <c:yMode val="edge"/>
          <c:x val="5.9109294030553886E-2"/>
          <c:y val="0.87902112086957851"/>
          <c:w val="0.88382741823242861"/>
          <c:h val="7.1499465344609714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307389460932752E-2"/>
          <c:y val="6.3512081608355794E-2"/>
          <c:w val="0.87131300895080421"/>
          <c:h val="0.60371761777200561"/>
        </c:manualLayout>
      </c:layout>
      <c:lineChart>
        <c:grouping val="standard"/>
        <c:varyColors val="0"/>
        <c:ser>
          <c:idx val="0"/>
          <c:order val="0"/>
          <c:tx>
            <c:strRef>
              <c:f>'Combined Neg'!$B$1</c:f>
              <c:strCache>
                <c:ptCount val="1"/>
                <c:pt idx="0">
                  <c:v>Standard</c:v>
                </c:pt>
              </c:strCache>
            </c:strRef>
          </c:tx>
          <c:spPr>
            <a:ln>
              <a:prstDash val="sysDash"/>
            </a:ln>
          </c:spPr>
          <c:marker>
            <c:symbol val="none"/>
          </c:marker>
          <c:cat>
            <c:numRef>
              <c:f>'Combined Neg'!$A$2:$A$59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'Combined Neg'!$B$2:$B$59</c:f>
              <c:numCache>
                <c:formatCode>General</c:formatCode>
                <c:ptCount val="58"/>
                <c:pt idx="0">
                  <c:v>5.1991883492742765</c:v>
                </c:pt>
                <c:pt idx="1">
                  <c:v>4.7710400052838908</c:v>
                </c:pt>
                <c:pt idx="2">
                  <c:v>1.9510079877976461</c:v>
                </c:pt>
                <c:pt idx="3">
                  <c:v>3.7156988804414346</c:v>
                </c:pt>
                <c:pt idx="4">
                  <c:v>5.3295393515708875</c:v>
                </c:pt>
                <c:pt idx="5">
                  <c:v>4.6332336383522614</c:v>
                </c:pt>
                <c:pt idx="6">
                  <c:v>4.2248814153452852</c:v>
                </c:pt>
                <c:pt idx="7">
                  <c:v>3.5128960083089864</c:v>
                </c:pt>
                <c:pt idx="8">
                  <c:v>3.8118772961224807</c:v>
                </c:pt>
                <c:pt idx="9">
                  <c:v>3.6335212806209967</c:v>
                </c:pt>
                <c:pt idx="10">
                  <c:v>3.5711110250012403</c:v>
                </c:pt>
                <c:pt idx="11">
                  <c:v>3.7803585042055112</c:v>
                </c:pt>
                <c:pt idx="12">
                  <c:v>3.4819817965282231</c:v>
                </c:pt>
                <c:pt idx="13">
                  <c:v>2.4725675587292262</c:v>
                </c:pt>
                <c:pt idx="14">
                  <c:v>2.1439646569725141</c:v>
                </c:pt>
                <c:pt idx="15">
                  <c:v>1.4436420436528719</c:v>
                </c:pt>
                <c:pt idx="16">
                  <c:v>0.49833907035223562</c:v>
                </c:pt>
                <c:pt idx="17">
                  <c:v>1.244675648175221</c:v>
                </c:pt>
                <c:pt idx="18">
                  <c:v>0.84598515261750729</c:v>
                </c:pt>
                <c:pt idx="19">
                  <c:v>1.6509607899691559</c:v>
                </c:pt>
                <c:pt idx="20">
                  <c:v>1.4806114171480858</c:v>
                </c:pt>
                <c:pt idx="21">
                  <c:v>0.72520451162194621</c:v>
                </c:pt>
                <c:pt idx="22">
                  <c:v>1.2003809045121241</c:v>
                </c:pt>
                <c:pt idx="23">
                  <c:v>0.93298797953812063</c:v>
                </c:pt>
                <c:pt idx="24">
                  <c:v>1.193829746642181</c:v>
                </c:pt>
                <c:pt idx="25">
                  <c:v>0.45102417891206326</c:v>
                </c:pt>
                <c:pt idx="26">
                  <c:v>0.74260638858894035</c:v>
                </c:pt>
                <c:pt idx="27">
                  <c:v>0.8331235497953885</c:v>
                </c:pt>
                <c:pt idx="28">
                  <c:v>0.73280225508286789</c:v>
                </c:pt>
                <c:pt idx="29">
                  <c:v>1.6579150724070839</c:v>
                </c:pt>
                <c:pt idx="30">
                  <c:v>2.7702760778492745</c:v>
                </c:pt>
                <c:pt idx="31">
                  <c:v>1.4782304825913608</c:v>
                </c:pt>
                <c:pt idx="32">
                  <c:v>0.89024904559109985</c:v>
                </c:pt>
                <c:pt idx="33">
                  <c:v>0.67327053449468266</c:v>
                </c:pt>
                <c:pt idx="34">
                  <c:v>0.57848384229923377</c:v>
                </c:pt>
                <c:pt idx="35">
                  <c:v>0.88538897100700509</c:v>
                </c:pt>
                <c:pt idx="36">
                  <c:v>1.8931724174213327</c:v>
                </c:pt>
                <c:pt idx="37">
                  <c:v>1.2464283527884872</c:v>
                </c:pt>
                <c:pt idx="38">
                  <c:v>0.61698350312163341</c:v>
                </c:pt>
                <c:pt idx="39">
                  <c:v>1.0897732778184854</c:v>
                </c:pt>
                <c:pt idx="40">
                  <c:v>0.14315021437941489</c:v>
                </c:pt>
                <c:pt idx="41">
                  <c:v>-0.19344217900212596</c:v>
                </c:pt>
                <c:pt idx="42">
                  <c:v>0.326640910196698</c:v>
                </c:pt>
                <c:pt idx="43">
                  <c:v>-0.31446126038464906</c:v>
                </c:pt>
                <c:pt idx="44">
                  <c:v>0.27615615069625976</c:v>
                </c:pt>
                <c:pt idx="45">
                  <c:v>-0.42639310605966774</c:v>
                </c:pt>
                <c:pt idx="46">
                  <c:v>-0.34677604548117774</c:v>
                </c:pt>
                <c:pt idx="47">
                  <c:v>-0.89661063961769083</c:v>
                </c:pt>
                <c:pt idx="48">
                  <c:v>-1.2386796039304218</c:v>
                </c:pt>
                <c:pt idx="49">
                  <c:v>-1.0149994125397035</c:v>
                </c:pt>
                <c:pt idx="50">
                  <c:v>-1.6570730743914821</c:v>
                </c:pt>
                <c:pt idx="51">
                  <c:v>-1.6734387015708221</c:v>
                </c:pt>
                <c:pt idx="52">
                  <c:v>-1.5608731349890821</c:v>
                </c:pt>
                <c:pt idx="53">
                  <c:v>-1.8033117113461277</c:v>
                </c:pt>
                <c:pt idx="54">
                  <c:v>-1.9325126375578785</c:v>
                </c:pt>
                <c:pt idx="55">
                  <c:v>-1.7592847315259417</c:v>
                </c:pt>
                <c:pt idx="56">
                  <c:v>-1.8784851739597095</c:v>
                </c:pt>
                <c:pt idx="57">
                  <c:v>-2.5809009860839542</c:v>
                </c:pt>
              </c:numCache>
            </c:numRef>
          </c:val>
          <c:smooth val="0"/>
        </c:ser>
        <c:ser>
          <c:idx val="1"/>
          <c:order val="1"/>
          <c:tx>
            <c:strRef>
              <c:f>'Combined Neg'!$C$1</c:f>
              <c:strCache>
                <c:ptCount val="1"/>
                <c:pt idx="0">
                  <c:v>Cross-Sectional</c:v>
                </c:pt>
              </c:strCache>
            </c:strRef>
          </c:tx>
          <c:spPr>
            <a:ln>
              <a:prstDash val="sysDash"/>
            </a:ln>
          </c:spPr>
          <c:marker>
            <c:symbol val="none"/>
          </c:marker>
          <c:cat>
            <c:numRef>
              <c:f>'Combined Neg'!$A$2:$A$59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'Combined Neg'!$C$2:$C$59</c:f>
              <c:numCache>
                <c:formatCode>General</c:formatCode>
                <c:ptCount val="58"/>
                <c:pt idx="0">
                  <c:v>6.8967672235964237</c:v>
                </c:pt>
                <c:pt idx="1">
                  <c:v>6.6022568776737289</c:v>
                </c:pt>
                <c:pt idx="2">
                  <c:v>0.13172122141813078</c:v>
                </c:pt>
                <c:pt idx="3">
                  <c:v>3.0475117060780006</c:v>
                </c:pt>
                <c:pt idx="4">
                  <c:v>5.7907862287219816</c:v>
                </c:pt>
                <c:pt idx="5">
                  <c:v>3.7387356587308203</c:v>
                </c:pt>
                <c:pt idx="6">
                  <c:v>2.7318456060077128</c:v>
                </c:pt>
                <c:pt idx="7">
                  <c:v>1.3624750009134101</c:v>
                </c:pt>
                <c:pt idx="8">
                  <c:v>1.9879553309638682</c:v>
                </c:pt>
                <c:pt idx="9">
                  <c:v>1.4165653374335778</c:v>
                </c:pt>
                <c:pt idx="10">
                  <c:v>1.5126682107041411</c:v>
                </c:pt>
                <c:pt idx="11">
                  <c:v>1.7983178149163948</c:v>
                </c:pt>
                <c:pt idx="12">
                  <c:v>0.93623343167270368</c:v>
                </c:pt>
                <c:pt idx="13">
                  <c:v>8.4577760265543728E-2</c:v>
                </c:pt>
                <c:pt idx="14">
                  <c:v>-0.48769356829079902</c:v>
                </c:pt>
                <c:pt idx="15">
                  <c:v>-1.4846395804806458</c:v>
                </c:pt>
                <c:pt idx="16">
                  <c:v>-2.7136921781266632</c:v>
                </c:pt>
                <c:pt idx="17">
                  <c:v>-1.8437455283041972</c:v>
                </c:pt>
                <c:pt idx="18">
                  <c:v>-2.4138769919252927</c:v>
                </c:pt>
                <c:pt idx="19">
                  <c:v>-1.4418884089884338</c:v>
                </c:pt>
                <c:pt idx="20">
                  <c:v>-1.40220997410755</c:v>
                </c:pt>
                <c:pt idx="21">
                  <c:v>-2.8365987002011397</c:v>
                </c:pt>
                <c:pt idx="22">
                  <c:v>-2.0991931885438375</c:v>
                </c:pt>
                <c:pt idx="23">
                  <c:v>-2.3365047686369316</c:v>
                </c:pt>
                <c:pt idx="24">
                  <c:v>-1.7912939325846648</c:v>
                </c:pt>
                <c:pt idx="25">
                  <c:v>-2.7121227909232877</c:v>
                </c:pt>
                <c:pt idx="26">
                  <c:v>-2.5497844345356544</c:v>
                </c:pt>
                <c:pt idx="27">
                  <c:v>-2.4081543735747744</c:v>
                </c:pt>
                <c:pt idx="28">
                  <c:v>-2.6169604764161627</c:v>
                </c:pt>
                <c:pt idx="29">
                  <c:v>-1.3519493799496678</c:v>
                </c:pt>
                <c:pt idx="30">
                  <c:v>2.556456994385754E-2</c:v>
                </c:pt>
                <c:pt idx="31">
                  <c:v>-1.3241205410050465</c:v>
                </c:pt>
                <c:pt idx="32">
                  <c:v>-1.8301491448095681</c:v>
                </c:pt>
                <c:pt idx="33">
                  <c:v>-2.2174249465832352</c:v>
                </c:pt>
                <c:pt idx="34">
                  <c:v>-2.4850014266458267</c:v>
                </c:pt>
                <c:pt idx="35">
                  <c:v>-2.2244045450279923</c:v>
                </c:pt>
                <c:pt idx="36">
                  <c:v>-0.8193398285467427</c:v>
                </c:pt>
                <c:pt idx="37">
                  <c:v>-1.5654553957188702</c:v>
                </c:pt>
                <c:pt idx="38">
                  <c:v>-2.2377229560290002</c:v>
                </c:pt>
                <c:pt idx="39">
                  <c:v>-1.6101322799580136</c:v>
                </c:pt>
                <c:pt idx="40">
                  <c:v>-2.7173321875858942</c:v>
                </c:pt>
                <c:pt idx="41">
                  <c:v>-3.0265681538820424</c:v>
                </c:pt>
                <c:pt idx="42">
                  <c:v>-2.5195189560838167</c:v>
                </c:pt>
                <c:pt idx="43">
                  <c:v>-3.1182892583242876</c:v>
                </c:pt>
                <c:pt idx="44">
                  <c:v>-2.3590954387126777</c:v>
                </c:pt>
                <c:pt idx="45">
                  <c:v>-3.2260888678877402</c:v>
                </c:pt>
                <c:pt idx="46">
                  <c:v>-3.0190090604787967</c:v>
                </c:pt>
                <c:pt idx="47">
                  <c:v>-3.764218235863328</c:v>
                </c:pt>
                <c:pt idx="48">
                  <c:v>-4.0276826124376273</c:v>
                </c:pt>
                <c:pt idx="49">
                  <c:v>-3.9920879531002895</c:v>
                </c:pt>
                <c:pt idx="50">
                  <c:v>-4.9066353238879961</c:v>
                </c:pt>
                <c:pt idx="51">
                  <c:v>-4.742565950626024</c:v>
                </c:pt>
                <c:pt idx="52">
                  <c:v>-4.4453549792656855</c:v>
                </c:pt>
                <c:pt idx="53">
                  <c:v>-5.0701726574920691</c:v>
                </c:pt>
                <c:pt idx="54">
                  <c:v>-5.4942395641332116</c:v>
                </c:pt>
                <c:pt idx="55">
                  <c:v>-5.0668807691151345</c:v>
                </c:pt>
                <c:pt idx="56">
                  <c:v>-5.3965172499196985</c:v>
                </c:pt>
                <c:pt idx="57">
                  <c:v>-6.5066403074132584</c:v>
                </c:pt>
              </c:numCache>
            </c:numRef>
          </c:val>
          <c:smooth val="0"/>
        </c:ser>
        <c:ser>
          <c:idx val="2"/>
          <c:order val="2"/>
          <c:tx>
            <c:strRef>
              <c:f>'Combined Neg'!$D$1</c:f>
              <c:strCache>
                <c:ptCount val="1"/>
              </c:strCache>
            </c:strRef>
          </c:tx>
          <c:spPr>
            <a:ln>
              <a:solidFill>
                <a:schemeClr val="tx1"/>
              </a:solidFill>
              <a:prstDash val="sysDot"/>
            </a:ln>
          </c:spPr>
          <c:marker>
            <c:symbol val="none"/>
          </c:marker>
          <c:cat>
            <c:numRef>
              <c:f>'Combined Neg'!$A$2:$A$59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'Combined Neg'!$D$2:$D$59</c:f>
              <c:numCache>
                <c:formatCode>General</c:formatCode>
                <c:ptCount val="58"/>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numCache>
            </c:numRef>
          </c:val>
          <c:smooth val="0"/>
        </c:ser>
        <c:ser>
          <c:idx val="3"/>
          <c:order val="3"/>
          <c:tx>
            <c:strRef>
              <c:f>'Combined Neg'!$E$1</c:f>
              <c:strCache>
                <c:ptCount val="1"/>
              </c:strCache>
            </c:strRef>
          </c:tx>
          <c:spPr>
            <a:ln>
              <a:solidFill>
                <a:prstClr val="black"/>
              </a:solidFill>
              <a:prstDash val="sysDot"/>
            </a:ln>
          </c:spPr>
          <c:marker>
            <c:symbol val="none"/>
          </c:marker>
          <c:cat>
            <c:numRef>
              <c:f>'Combined Neg'!$A$2:$A$59</c:f>
              <c:numCache>
                <c:formatCode>mm/dd/yyyy</c:formatCode>
                <c:ptCount val="58"/>
                <c:pt idx="0">
                  <c:v>39730</c:v>
                </c:pt>
                <c:pt idx="1">
                  <c:v>39731</c:v>
                </c:pt>
                <c:pt idx="2">
                  <c:v>39734</c:v>
                </c:pt>
                <c:pt idx="3">
                  <c:v>39735</c:v>
                </c:pt>
                <c:pt idx="4">
                  <c:v>39736</c:v>
                </c:pt>
                <c:pt idx="5">
                  <c:v>39737</c:v>
                </c:pt>
                <c:pt idx="6">
                  <c:v>39738</c:v>
                </c:pt>
                <c:pt idx="7">
                  <c:v>39741</c:v>
                </c:pt>
                <c:pt idx="8">
                  <c:v>39742</c:v>
                </c:pt>
                <c:pt idx="9">
                  <c:v>39743</c:v>
                </c:pt>
                <c:pt idx="10">
                  <c:v>39744</c:v>
                </c:pt>
                <c:pt idx="11">
                  <c:v>39745</c:v>
                </c:pt>
                <c:pt idx="12">
                  <c:v>39748</c:v>
                </c:pt>
                <c:pt idx="13">
                  <c:v>39749</c:v>
                </c:pt>
                <c:pt idx="14">
                  <c:v>39750</c:v>
                </c:pt>
                <c:pt idx="15">
                  <c:v>39751</c:v>
                </c:pt>
                <c:pt idx="16">
                  <c:v>39752</c:v>
                </c:pt>
                <c:pt idx="17">
                  <c:v>39755</c:v>
                </c:pt>
                <c:pt idx="18">
                  <c:v>39756</c:v>
                </c:pt>
                <c:pt idx="19">
                  <c:v>39757</c:v>
                </c:pt>
                <c:pt idx="20">
                  <c:v>39758</c:v>
                </c:pt>
                <c:pt idx="21">
                  <c:v>39759</c:v>
                </c:pt>
                <c:pt idx="22">
                  <c:v>39762</c:v>
                </c:pt>
                <c:pt idx="23">
                  <c:v>39763</c:v>
                </c:pt>
                <c:pt idx="24">
                  <c:v>39764</c:v>
                </c:pt>
                <c:pt idx="25">
                  <c:v>39765</c:v>
                </c:pt>
                <c:pt idx="26">
                  <c:v>39766</c:v>
                </c:pt>
                <c:pt idx="27">
                  <c:v>39769</c:v>
                </c:pt>
                <c:pt idx="28">
                  <c:v>39770</c:v>
                </c:pt>
                <c:pt idx="29">
                  <c:v>39771</c:v>
                </c:pt>
                <c:pt idx="30">
                  <c:v>39772</c:v>
                </c:pt>
                <c:pt idx="31">
                  <c:v>39773</c:v>
                </c:pt>
                <c:pt idx="32">
                  <c:v>39776</c:v>
                </c:pt>
                <c:pt idx="33">
                  <c:v>39777</c:v>
                </c:pt>
                <c:pt idx="34">
                  <c:v>39778</c:v>
                </c:pt>
                <c:pt idx="35">
                  <c:v>39780</c:v>
                </c:pt>
                <c:pt idx="36">
                  <c:v>39783</c:v>
                </c:pt>
                <c:pt idx="37">
                  <c:v>39784</c:v>
                </c:pt>
                <c:pt idx="38">
                  <c:v>39785</c:v>
                </c:pt>
                <c:pt idx="39">
                  <c:v>39786</c:v>
                </c:pt>
                <c:pt idx="40">
                  <c:v>39787</c:v>
                </c:pt>
                <c:pt idx="41">
                  <c:v>39790</c:v>
                </c:pt>
                <c:pt idx="42">
                  <c:v>39791</c:v>
                </c:pt>
                <c:pt idx="43">
                  <c:v>39792</c:v>
                </c:pt>
                <c:pt idx="44">
                  <c:v>39793</c:v>
                </c:pt>
                <c:pt idx="45">
                  <c:v>39794</c:v>
                </c:pt>
                <c:pt idx="46">
                  <c:v>39797</c:v>
                </c:pt>
                <c:pt idx="47">
                  <c:v>39798</c:v>
                </c:pt>
                <c:pt idx="48">
                  <c:v>39799</c:v>
                </c:pt>
                <c:pt idx="49">
                  <c:v>39800</c:v>
                </c:pt>
                <c:pt idx="50">
                  <c:v>39801</c:v>
                </c:pt>
                <c:pt idx="51">
                  <c:v>39804</c:v>
                </c:pt>
                <c:pt idx="52">
                  <c:v>39805</c:v>
                </c:pt>
                <c:pt idx="53">
                  <c:v>39806</c:v>
                </c:pt>
                <c:pt idx="54">
                  <c:v>39808</c:v>
                </c:pt>
                <c:pt idx="55">
                  <c:v>39811</c:v>
                </c:pt>
                <c:pt idx="56">
                  <c:v>39812</c:v>
                </c:pt>
                <c:pt idx="57">
                  <c:v>39813</c:v>
                </c:pt>
              </c:numCache>
            </c:numRef>
          </c:cat>
          <c:val>
            <c:numRef>
              <c:f>'Combined Neg'!$E$2:$E$59</c:f>
              <c:numCache>
                <c:formatCode>General</c:formatCode>
                <c:ptCount val="58"/>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-2</c:v>
                </c:pt>
                <c:pt idx="32">
                  <c:v>-2</c:v>
                </c:pt>
                <c:pt idx="33">
                  <c:v>-2</c:v>
                </c:pt>
                <c:pt idx="34">
                  <c:v>-2</c:v>
                </c:pt>
                <c:pt idx="35">
                  <c:v>-2</c:v>
                </c:pt>
                <c:pt idx="36">
                  <c:v>-2</c:v>
                </c:pt>
                <c:pt idx="37">
                  <c:v>-2</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numCache>
            </c:numRef>
          </c:val>
          <c:smooth val="0"/>
        </c:ser>
        <c:dLbls>
          <c:showLegendKey val="0"/>
          <c:showVal val="0"/>
          <c:showCatName val="0"/>
          <c:showSerName val="0"/>
          <c:showPercent val="0"/>
          <c:showBubbleSize val="0"/>
        </c:dLbls>
        <c:marker val="1"/>
        <c:smooth val="0"/>
        <c:axId val="246321152"/>
        <c:axId val="242946560"/>
      </c:lineChart>
      <c:dateAx>
        <c:axId val="246321152"/>
        <c:scaling>
          <c:orientation val="minMax"/>
        </c:scaling>
        <c:delete val="0"/>
        <c:axPos val="b"/>
        <c:numFmt formatCode="mm/dd/yy" sourceLinked="0"/>
        <c:majorTickMark val="out"/>
        <c:minorTickMark val="none"/>
        <c:tickLblPos val="nextTo"/>
        <c:txPr>
          <a:bodyPr rot="-2700000"/>
          <a:lstStyle/>
          <a:p>
            <a:pPr>
              <a:defRPr/>
            </a:pPr>
            <a:endParaRPr lang="en-US"/>
          </a:p>
        </c:txPr>
        <c:crossAx val="242946560"/>
        <c:crossesAt val="-8"/>
        <c:auto val="1"/>
        <c:lblOffset val="100"/>
        <c:baseTimeUnit val="days"/>
      </c:dateAx>
      <c:valAx>
        <c:axId val="242946560"/>
        <c:scaling>
          <c:orientation val="minMax"/>
        </c:scaling>
        <c:delete val="0"/>
        <c:axPos val="l"/>
        <c:majorGridlines/>
        <c:title>
          <c:tx>
            <c:rich>
              <a:bodyPr rot="-5400000" vert="horz"/>
              <a:lstStyle/>
              <a:p>
                <a:pPr>
                  <a:defRPr/>
                </a:pPr>
                <a:r>
                  <a:rPr lang="en-US" sz="1050">
                    <a:latin typeface="Times New Roman" pitchFamily="18" charset="0"/>
                    <a:cs typeface="Times New Roman" pitchFamily="18" charset="0"/>
                  </a:rPr>
                  <a:t>Test Statistic</a:t>
                </a:r>
              </a:p>
            </c:rich>
          </c:tx>
          <c:overlay val="0"/>
        </c:title>
        <c:numFmt formatCode="General" sourceLinked="1"/>
        <c:majorTickMark val="out"/>
        <c:minorTickMark val="none"/>
        <c:tickLblPos val="nextTo"/>
        <c:crossAx val="246321152"/>
        <c:crosses val="autoZero"/>
        <c:crossBetween val="between"/>
      </c:valAx>
    </c:plotArea>
    <c:legend>
      <c:legendPos val="r"/>
      <c:legendEntry>
        <c:idx val="2"/>
        <c:delete val="1"/>
      </c:legendEntry>
      <c:legendEntry>
        <c:idx val="3"/>
        <c:delete val="1"/>
      </c:legendEntry>
      <c:layout>
        <c:manualLayout>
          <c:xMode val="edge"/>
          <c:yMode val="edge"/>
          <c:x val="5.7501682481997447E-2"/>
          <c:y val="0.8865772122156147"/>
          <c:w val="0.87372631578947613"/>
          <c:h val="7.1933544389425549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0.38567</cdr:x>
      <cdr:y>0.13698</cdr:y>
    </cdr:from>
    <cdr:to>
      <cdr:x>0.72125</cdr:x>
      <cdr:y>0.7156</cdr:y>
    </cdr:to>
    <cdr:sp macro="" textlink="">
      <cdr:nvSpPr>
        <cdr:cNvPr id="2" name="Rectangle 1"/>
        <cdr:cNvSpPr/>
      </cdr:nvSpPr>
      <cdr:spPr>
        <a:xfrm xmlns:a="http://schemas.openxmlformats.org/drawingml/2006/main">
          <a:off x="2297193" y="379244"/>
          <a:ext cx="1998815" cy="1601956"/>
        </a:xfrm>
        <a:prstGeom xmlns:a="http://schemas.openxmlformats.org/drawingml/2006/main" prst="rect">
          <a:avLst/>
        </a:prstGeom>
        <a:solidFill xmlns:a="http://schemas.openxmlformats.org/drawingml/2006/main">
          <a:srgbClr val="FFFF00">
            <a:alpha val="25000"/>
          </a:srgbClr>
        </a:solidFill>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0.39177</cdr:x>
      <cdr:y>0.04989</cdr:y>
    </cdr:from>
    <cdr:to>
      <cdr:x>0.72281</cdr:x>
      <cdr:y>0.66743</cdr:y>
    </cdr:to>
    <cdr:sp macro="" textlink="">
      <cdr:nvSpPr>
        <cdr:cNvPr id="2" name="Rectangle 1"/>
        <cdr:cNvSpPr/>
      </cdr:nvSpPr>
      <cdr:spPr>
        <a:xfrm xmlns:a="http://schemas.openxmlformats.org/drawingml/2006/main">
          <a:off x="2333505" y="138113"/>
          <a:ext cx="1971796" cy="1709737"/>
        </a:xfrm>
        <a:prstGeom xmlns:a="http://schemas.openxmlformats.org/drawingml/2006/main" prst="rect">
          <a:avLst/>
        </a:prstGeom>
        <a:solidFill xmlns:a="http://schemas.openxmlformats.org/drawingml/2006/main">
          <a:srgbClr val="FFFF00">
            <a:alpha val="25000"/>
          </a:srgbClr>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0.3933</cdr:x>
      <cdr:y>0.08565</cdr:y>
    </cdr:from>
    <cdr:to>
      <cdr:x>0.71472</cdr:x>
      <cdr:y>0.71631</cdr:y>
    </cdr:to>
    <cdr:sp macro="" textlink="">
      <cdr:nvSpPr>
        <cdr:cNvPr id="2" name="Rectangle 1"/>
        <cdr:cNvSpPr/>
      </cdr:nvSpPr>
      <cdr:spPr>
        <a:xfrm xmlns:a="http://schemas.openxmlformats.org/drawingml/2006/main">
          <a:off x="2338624" y="261938"/>
          <a:ext cx="1911208" cy="1928638"/>
        </a:xfrm>
        <a:prstGeom xmlns:a="http://schemas.openxmlformats.org/drawingml/2006/main" prst="rect">
          <a:avLst/>
        </a:prstGeom>
        <a:solidFill xmlns:a="http://schemas.openxmlformats.org/drawingml/2006/main">
          <a:srgbClr val="FFFF00">
            <a:alpha val="25000"/>
          </a:srgbClr>
        </a:solidFill>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C396-81CD-450F-9C2B-615C7022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10112</Words>
  <Characters>57643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Effects and Consequences of the</vt:lpstr>
    </vt:vector>
  </TitlesOfParts>
  <Company>USC Marshall School of Business</Company>
  <LinksUpToDate>false</LinksUpToDate>
  <CharactersWithSpaces>67620</CharactersWithSpaces>
  <SharedDoc>false</SharedDoc>
  <HLinks>
    <vt:vector size="12" baseType="variant">
      <vt:variant>
        <vt:i4>2752628</vt:i4>
      </vt:variant>
      <vt:variant>
        <vt:i4>3</vt:i4>
      </vt:variant>
      <vt:variant>
        <vt:i4>0</vt:i4>
      </vt:variant>
      <vt:variant>
        <vt:i4>5</vt:i4>
      </vt:variant>
      <vt:variant>
        <vt:lpwstr>http://www.sec.gov/</vt:lpwstr>
      </vt:variant>
      <vt:variant>
        <vt:lpwstr/>
      </vt:variant>
      <vt:variant>
        <vt:i4>7209025</vt:i4>
      </vt:variant>
      <vt:variant>
        <vt:i4>0</vt:i4>
      </vt:variant>
      <vt:variant>
        <vt:i4>0</vt:i4>
      </vt:variant>
      <vt:variant>
        <vt:i4>5</vt:i4>
      </vt:variant>
      <vt:variant>
        <vt:lpwstr>mailto:enamvar@uci.edu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and Consequences of the</dc:title>
  <dc:creator>Lawrence E. Harris</dc:creator>
  <cp:lastModifiedBy>Larry Harris</cp:lastModifiedBy>
  <cp:revision>2</cp:revision>
  <cp:lastPrinted>2012-10-10T20:07:00Z</cp:lastPrinted>
  <dcterms:created xsi:type="dcterms:W3CDTF">2013-01-18T22:26:00Z</dcterms:created>
  <dcterms:modified xsi:type="dcterms:W3CDTF">2013-01-18T22:26:00Z</dcterms:modified>
</cp:coreProperties>
</file>