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CC9" w:rsidRDefault="006A5CC9" w:rsidP="003B291D">
      <w:pPr>
        <w:pStyle w:val="Title"/>
      </w:pPr>
      <w:bookmarkStart w:id="0" w:name="_GoBack"/>
      <w:bookmarkEnd w:id="0"/>
    </w:p>
    <w:p w:rsidR="006A5CC9" w:rsidRDefault="006A5CC9" w:rsidP="003B291D">
      <w:pPr>
        <w:pStyle w:val="Title"/>
      </w:pPr>
    </w:p>
    <w:p w:rsidR="00875D54" w:rsidRDefault="00E73C7A" w:rsidP="003B291D">
      <w:pPr>
        <w:pStyle w:val="Title"/>
      </w:pPr>
      <w:r>
        <w:t>Maker</w:t>
      </w:r>
      <w:r w:rsidR="00BE3B67">
        <w:t>-</w:t>
      </w:r>
      <w:r>
        <w:t xml:space="preserve">Taker Pricing </w:t>
      </w:r>
      <w:r w:rsidR="006A5CC9">
        <w:t xml:space="preserve">Effects </w:t>
      </w:r>
      <w:r>
        <w:t xml:space="preserve">on </w:t>
      </w:r>
      <w:r w:rsidR="00D73CE5">
        <w:t>Market Quotations</w:t>
      </w:r>
      <w:r>
        <w:t xml:space="preserve"> </w:t>
      </w:r>
    </w:p>
    <w:p w:rsidR="006A5CC9" w:rsidRDefault="006A5CC9" w:rsidP="006A5CC9"/>
    <w:p w:rsidR="006A5CC9" w:rsidRDefault="006A5CC9" w:rsidP="006A5CC9"/>
    <w:p w:rsidR="006A5CC9" w:rsidRDefault="006A5CC9" w:rsidP="006A5CC9"/>
    <w:p w:rsidR="006A5CC9" w:rsidRPr="006A5CC9" w:rsidRDefault="006A5CC9" w:rsidP="006A5CC9"/>
    <w:p w:rsidR="00E104ED" w:rsidRPr="00D54FF3" w:rsidRDefault="00E104ED" w:rsidP="00E104ED">
      <w:pPr>
        <w:pStyle w:val="Subtitle"/>
        <w:rPr>
          <w:vertAlign w:val="superscript"/>
        </w:rPr>
      </w:pPr>
      <w:r>
        <w:t>Larry Harris</w:t>
      </w:r>
      <w:r w:rsidR="00D54FF3">
        <w:rPr>
          <w:vertAlign w:val="superscript"/>
        </w:rPr>
        <w:t>*</w:t>
      </w:r>
    </w:p>
    <w:p w:rsidR="00BE7B15" w:rsidRDefault="00BE7B15" w:rsidP="00BE7B15">
      <w:pPr>
        <w:pStyle w:val="Subtitle"/>
      </w:pPr>
      <w:r>
        <w:t>USC Marshall School of Business</w:t>
      </w:r>
    </w:p>
    <w:p w:rsidR="00E104ED" w:rsidRDefault="00C67A10" w:rsidP="00C67A10">
      <w:pPr>
        <w:pStyle w:val="Subtitle"/>
      </w:pPr>
      <w:r>
        <w:t>November 14, 2013</w:t>
      </w:r>
    </w:p>
    <w:p w:rsidR="00C67A10" w:rsidRPr="00C67A10" w:rsidRDefault="00C67A10" w:rsidP="00C67A10"/>
    <w:p w:rsidR="00690E39" w:rsidRDefault="00EF144A" w:rsidP="00EF144A">
      <w:pPr>
        <w:jc w:val="center"/>
      </w:pPr>
      <w:r>
        <w:t>Draft 0.9</w:t>
      </w:r>
      <w:r w:rsidR="00C67A10">
        <w:t>1</w:t>
      </w:r>
      <w:r w:rsidR="00690E39">
        <w:t xml:space="preserve"> </w:t>
      </w:r>
      <w:r w:rsidR="00690E39">
        <w:br/>
      </w:r>
    </w:p>
    <w:p w:rsidR="00B85214" w:rsidRDefault="00690E39" w:rsidP="00EF144A">
      <w:pPr>
        <w:jc w:val="center"/>
      </w:pPr>
      <w:r>
        <w:t>(</w:t>
      </w:r>
      <w:r w:rsidR="00EF144A">
        <w:t xml:space="preserve">Complete draft but </w:t>
      </w:r>
      <w:r>
        <w:t>comparative analyses of</w:t>
      </w:r>
      <w:r>
        <w:br/>
        <w:t xml:space="preserve">high price stocks and earlier sample periods </w:t>
      </w:r>
      <w:r>
        <w:br/>
        <w:t>are yet to be done.)</w:t>
      </w:r>
    </w:p>
    <w:p w:rsidR="00B85214" w:rsidRPr="00E104ED" w:rsidRDefault="00B85214" w:rsidP="00E104ED"/>
    <w:p w:rsidR="00E104ED" w:rsidRPr="00E104ED" w:rsidRDefault="00E104ED" w:rsidP="00E104ED">
      <w:pPr>
        <w:jc w:val="center"/>
        <w:rPr>
          <w:b/>
        </w:rPr>
      </w:pPr>
      <w:r w:rsidRPr="00E104ED">
        <w:rPr>
          <w:b/>
        </w:rPr>
        <w:t>Abstract</w:t>
      </w:r>
    </w:p>
    <w:p w:rsidR="0036136A" w:rsidRDefault="0036136A" w:rsidP="00874980">
      <w:pPr>
        <w:pStyle w:val="BodyText"/>
      </w:pPr>
    </w:p>
    <w:p w:rsidR="00874980" w:rsidRDefault="009D1F1E" w:rsidP="00874980">
      <w:pPr>
        <w:pStyle w:val="BodyText"/>
      </w:pPr>
      <w:r w:rsidRPr="00874980">
        <w:t>Th</w:t>
      </w:r>
      <w:r>
        <w:t xml:space="preserve">e exchange maker-taker </w:t>
      </w:r>
      <w:r w:rsidRPr="00874980">
        <w:t xml:space="preserve">pricing scheme affects incentives to </w:t>
      </w:r>
      <w:r>
        <w:t>take or make markets resulting in narrower bid-ask spreads</w:t>
      </w:r>
      <w:r w:rsidRPr="00874980">
        <w:t xml:space="preserve">.  </w:t>
      </w:r>
      <w:r w:rsidR="00874980" w:rsidRPr="00874980">
        <w:t>This study trace</w:t>
      </w:r>
      <w:r>
        <w:t>s</w:t>
      </w:r>
      <w:r w:rsidR="00874980" w:rsidRPr="00874980">
        <w:t xml:space="preserve"> the effect of mak</w:t>
      </w:r>
      <w:r w:rsidR="00874980">
        <w:t>er-ta</w:t>
      </w:r>
      <w:r w:rsidR="00874980" w:rsidRPr="00874980">
        <w:t>ker pricing on stock</w:t>
      </w:r>
      <w:r w:rsidR="00C61053">
        <w:t xml:space="preserve"> quotations</w:t>
      </w:r>
      <w:r w:rsidR="00874980" w:rsidRPr="00874980">
        <w:t xml:space="preserve">.  The </w:t>
      </w:r>
      <w:r w:rsidR="0036136A">
        <w:t xml:space="preserve">analyses consider </w:t>
      </w:r>
      <w:r w:rsidR="00874980" w:rsidRPr="00874980">
        <w:t>distributions of quotation sizes, values implied from these sizes, and chan</w:t>
      </w:r>
      <w:r>
        <w:t xml:space="preserve">ges in these sizes and values. </w:t>
      </w:r>
      <w:r w:rsidR="0036136A">
        <w:t xml:space="preserve"> </w:t>
      </w:r>
      <w:r>
        <w:t xml:space="preserve">The results help inform the current debate on </w:t>
      </w:r>
      <w:r w:rsidR="00874980" w:rsidRPr="00874980">
        <w:t>whether tick sizes should be made smaller for actively traded low price stocks</w:t>
      </w:r>
      <w:r>
        <w:t xml:space="preserve">.  They also shed light on various problems </w:t>
      </w:r>
      <w:r w:rsidR="00874980" w:rsidRPr="00874980">
        <w:t>associated with mak</w:t>
      </w:r>
      <w:r w:rsidR="00874980">
        <w:t>er-ta</w:t>
      </w:r>
      <w:r w:rsidR="00874980" w:rsidRPr="00874980">
        <w:t>k</w:t>
      </w:r>
      <w:r w:rsidR="009C7160">
        <w:t>er pricing and its cousin taker-</w:t>
      </w:r>
      <w:r>
        <w:t>mak</w:t>
      </w:r>
      <w:r w:rsidR="00874980" w:rsidRPr="00874980">
        <w:t>er pric</w:t>
      </w:r>
      <w:r>
        <w:t xml:space="preserve">ing, which allows </w:t>
      </w:r>
      <w:r w:rsidR="00874980" w:rsidRPr="00874980">
        <w:t>traders to engage in sub</w:t>
      </w:r>
      <w:r>
        <w:t>-</w:t>
      </w:r>
      <w:r w:rsidR="00874980" w:rsidRPr="00874980">
        <w:t xml:space="preserve">penny quotation behavior </w:t>
      </w:r>
      <w:r>
        <w:t xml:space="preserve">that </w:t>
      </w:r>
      <w:r w:rsidR="00AE7392">
        <w:t xml:space="preserve">legally </w:t>
      </w:r>
      <w:r>
        <w:t xml:space="preserve">violates the spirit of </w:t>
      </w:r>
      <w:r w:rsidRPr="00874980">
        <w:t>Regulation NMS</w:t>
      </w:r>
      <w:r>
        <w:t xml:space="preserve">. </w:t>
      </w:r>
    </w:p>
    <w:p w:rsidR="003F7929" w:rsidRDefault="003F7929" w:rsidP="00874980">
      <w:pPr>
        <w:pStyle w:val="BodyText"/>
      </w:pPr>
    </w:p>
    <w:p w:rsidR="00B85214" w:rsidRDefault="00B85214" w:rsidP="00874980">
      <w:pPr>
        <w:pStyle w:val="BodyText"/>
      </w:pPr>
    </w:p>
    <w:p w:rsidR="00B85214" w:rsidRDefault="00B85214" w:rsidP="00874980">
      <w:pPr>
        <w:pStyle w:val="BodyText"/>
      </w:pPr>
    </w:p>
    <w:p w:rsidR="003F7929" w:rsidRDefault="003F7929" w:rsidP="00874980">
      <w:pPr>
        <w:pStyle w:val="BodyText"/>
      </w:pPr>
      <w:r>
        <w:t xml:space="preserve">Keywords:  </w:t>
      </w:r>
      <w:r w:rsidR="00EF144A">
        <w:t>Exchange fees, m</w:t>
      </w:r>
      <w:r>
        <w:t xml:space="preserve">aker-taker, </w:t>
      </w:r>
      <w:r w:rsidR="00EF144A">
        <w:t xml:space="preserve">taker-maker, </w:t>
      </w:r>
      <w:bookmarkStart w:id="1" w:name="ZBBlock"/>
      <w:bookmarkEnd w:id="1"/>
      <w:r w:rsidR="00EF144A">
        <w:t xml:space="preserve">access fees, liquidity rebates, </w:t>
      </w:r>
      <w:bookmarkStart w:id="2" w:name="ZEBlock"/>
      <w:bookmarkEnd w:id="2"/>
      <w:r>
        <w:t>quotation sizes,</w:t>
      </w:r>
      <w:r w:rsidR="00EF144A">
        <w:t xml:space="preserve"> </w:t>
      </w:r>
      <w:proofErr w:type="spellStart"/>
      <w:r w:rsidR="00E06575">
        <w:t>microprice</w:t>
      </w:r>
      <w:proofErr w:type="spellEnd"/>
      <w:r w:rsidR="00EF144A">
        <w:t xml:space="preserve">, tick size, minimum price variation, </w:t>
      </w:r>
      <w:proofErr w:type="gramStart"/>
      <w:r w:rsidR="00EF144A">
        <w:t>bid</w:t>
      </w:r>
      <w:proofErr w:type="gramEnd"/>
      <w:r w:rsidR="00EF144A">
        <w:t>-ask spread</w:t>
      </w:r>
    </w:p>
    <w:p w:rsidR="00D54FF3" w:rsidRDefault="00D54FF3" w:rsidP="00874980">
      <w:pPr>
        <w:pStyle w:val="BodyText"/>
      </w:pPr>
    </w:p>
    <w:p w:rsidR="00D54FF3" w:rsidRPr="00874980" w:rsidRDefault="00D54FF3" w:rsidP="00874980">
      <w:pPr>
        <w:pStyle w:val="BodyText"/>
      </w:pPr>
      <w:r>
        <w:rPr>
          <w:vertAlign w:val="superscript"/>
        </w:rPr>
        <w:t>*</w:t>
      </w:r>
      <w:r w:rsidR="00A02F5A">
        <w:t xml:space="preserve">Contact the </w:t>
      </w:r>
      <w:r>
        <w:t xml:space="preserve">author at </w:t>
      </w:r>
      <w:hyperlink r:id="rId9" w:history="1">
        <w:r w:rsidRPr="00954453">
          <w:rPr>
            <w:rStyle w:val="Hyperlink"/>
          </w:rPr>
          <w:t>lharris@USC.edu</w:t>
        </w:r>
      </w:hyperlink>
      <w:r w:rsidR="00A02F5A">
        <w:t xml:space="preserve">; </w:t>
      </w:r>
      <w:r>
        <w:t>Bridge Hall 308, USC Marshall School of Business, Los Angeles, CA 90089-0804</w:t>
      </w:r>
      <w:r w:rsidR="00A02F5A">
        <w:t>;</w:t>
      </w:r>
      <w:r>
        <w:t xml:space="preserve"> or </w:t>
      </w:r>
      <w:r w:rsidR="00A02F5A">
        <w:t>+1 (</w:t>
      </w:r>
      <w:r>
        <w:t>213</w:t>
      </w:r>
      <w:r w:rsidR="00A02F5A">
        <w:t>)</w:t>
      </w:r>
      <w:r>
        <w:t xml:space="preserve"> 740-</w:t>
      </w:r>
      <w:r w:rsidR="00EB4FC8">
        <w:t xml:space="preserve">6496.  The author gratefully acknowledges </w:t>
      </w:r>
      <w:r w:rsidR="00B770F5">
        <w:t xml:space="preserve">discussions with </w:t>
      </w:r>
      <w:r w:rsidR="00EB4FC8">
        <w:t xml:space="preserve">Robert Battalio, </w:t>
      </w:r>
      <w:r w:rsidR="00A02F5A">
        <w:t xml:space="preserve">Naftali Harris, </w:t>
      </w:r>
      <w:r w:rsidR="00EB4FC8">
        <w:t>Joel Hasbrouck, Jonathan Karpoff, and Ingrid Warner</w:t>
      </w:r>
      <w:r w:rsidR="00A02F5A">
        <w:t>;</w:t>
      </w:r>
      <w:r w:rsidR="00EB4FC8">
        <w:t xml:space="preserve"> and research assistance provided by </w:t>
      </w:r>
      <w:r w:rsidR="00EB4FC8" w:rsidRPr="00EB4FC8">
        <w:t>Georgios Magkotsios</w:t>
      </w:r>
      <w:r w:rsidR="00EB4FC8">
        <w:t>.</w:t>
      </w:r>
    </w:p>
    <w:p w:rsidR="00E73C7A" w:rsidRDefault="00154ABE" w:rsidP="008B2A23">
      <w:pPr>
        <w:pStyle w:val="Heading1"/>
      </w:pPr>
      <w:r>
        <w:br w:type="page"/>
      </w:r>
      <w:r w:rsidR="00E104ED">
        <w:lastRenderedPageBreak/>
        <w:t>Introduction</w:t>
      </w:r>
    </w:p>
    <w:p w:rsidR="0000494F" w:rsidRDefault="006935CB" w:rsidP="001F7591">
      <w:pPr>
        <w:pStyle w:val="BodyText"/>
      </w:pPr>
      <w:r>
        <w:t>E</w:t>
      </w:r>
      <w:r w:rsidR="0000494F" w:rsidRPr="00F81028">
        <w:t>xchanges changed how they price their services</w:t>
      </w:r>
      <w:r>
        <w:t xml:space="preserve"> over the last 15 years</w:t>
      </w:r>
      <w:r w:rsidR="0000494F" w:rsidRPr="00F81028">
        <w:t xml:space="preserve">.  Traditionally, they charged a small fee to the buyer, the seller, or both.  Now most exchanges charge a relatively high fee to the trade initiator (the taker) and rebate most of it to the liquidity supplier (the maker).  Liquidity suppliers are buyers or sellers whose standing </w:t>
      </w:r>
      <w:proofErr w:type="gramStart"/>
      <w:r w:rsidR="0000494F" w:rsidRPr="00F81028">
        <w:t>limit</w:t>
      </w:r>
      <w:proofErr w:type="gramEnd"/>
      <w:r w:rsidR="0000494F" w:rsidRPr="00F81028">
        <w:t xml:space="preserve"> orders or quotes provide options to trade.  They make markets.  Trade initiators are sellers or buyers who take these options to trade by submitting marketable orders.  </w:t>
      </w:r>
    </w:p>
    <w:p w:rsidR="0000494F" w:rsidRDefault="0000494F" w:rsidP="001F7591">
      <w:pPr>
        <w:pStyle w:val="BodyText"/>
      </w:pPr>
      <w:r w:rsidRPr="00F81028">
        <w:t>The fees charged to the takers are called access fees.  For equity trades, the access fees typically are 0.30¢</w:t>
      </w:r>
      <w:r w:rsidR="009F1106">
        <w:t>/</w:t>
      </w:r>
      <w:r w:rsidRPr="00F81028">
        <w:t>share (3 mil or “30¢ a hundred”).  The liquidity rebates received by the makers are typically 0.25¢</w:t>
      </w:r>
      <w:r w:rsidR="009F1106">
        <w:t>/</w:t>
      </w:r>
      <w:r w:rsidRPr="00F81028">
        <w:t xml:space="preserve">share.  The difference </w:t>
      </w:r>
      <w:r w:rsidR="00097901">
        <w:t xml:space="preserve">between </w:t>
      </w:r>
      <w:r w:rsidRPr="00F81028">
        <w:t xml:space="preserve">the access fee and the liquidity rebate is the net revenue that exchanges receive for providing exchange services—collecting orders, displaying orders when permitted, and arranging trades when possible.  This net difference is approximately the same amount that traditional fee exchanges would collect in total from buyers and/or sellers when arranging trades. </w:t>
      </w:r>
    </w:p>
    <w:p w:rsidR="00097901" w:rsidRDefault="00097901" w:rsidP="00097901">
      <w:pPr>
        <w:pStyle w:val="BodyText"/>
      </w:pPr>
      <w:r>
        <w:t xml:space="preserve">Although maker-taker fees are a very small fraction of trade prices, the total money transferred from takers to makers in U.S. equity markets is quite significant due to their high trading volumes.  </w:t>
      </w:r>
      <w:proofErr w:type="spellStart"/>
      <w:r w:rsidRPr="00E0791B">
        <w:t>Cardella</w:t>
      </w:r>
      <w:proofErr w:type="spellEnd"/>
      <w:r w:rsidRPr="00E0791B">
        <w:t xml:space="preserve">, </w:t>
      </w:r>
      <w:proofErr w:type="spellStart"/>
      <w:r w:rsidRPr="00E0791B">
        <w:t>Hao</w:t>
      </w:r>
      <w:proofErr w:type="spellEnd"/>
      <w:r>
        <w:t xml:space="preserve"> </w:t>
      </w:r>
      <w:r w:rsidRPr="00E0791B">
        <w:t xml:space="preserve">and </w:t>
      </w:r>
      <w:proofErr w:type="spellStart"/>
      <w:r w:rsidRPr="00E0791B">
        <w:t>Kalcheva</w:t>
      </w:r>
      <w:proofErr w:type="spellEnd"/>
      <w:r>
        <w:t xml:space="preserve"> (2013) calculate that this flow amounts to approximately $2B/year.</w:t>
      </w:r>
      <w:r>
        <w:rPr>
          <w:rStyle w:val="FootnoteReference"/>
        </w:rPr>
        <w:footnoteReference w:id="1"/>
      </w:r>
    </w:p>
    <w:p w:rsidR="0000494F" w:rsidRPr="00F81028" w:rsidRDefault="0000494F" w:rsidP="001F7591">
      <w:pPr>
        <w:pStyle w:val="BodyText"/>
      </w:pPr>
      <w:r w:rsidRPr="00F81028">
        <w:t>Economic theory suggests that the introduction of maker-taker pricing should have narrowed average bid-ask spreads by approximately twice the access fee or the liquidity rebate rate.  All other things equal, such a narrowing would keep constant the net bid-ask spread—the quoted spread adjusted for fees paid by takers or rebates received by makers) that takers pay and makers receive.  The theory of equilibrium spread</w:t>
      </w:r>
      <w:r w:rsidR="008360E8">
        <w:t>s</w:t>
      </w:r>
      <w:r w:rsidRPr="00F81028">
        <w:t xml:space="preserve">, which </w:t>
      </w:r>
      <w:r w:rsidR="004422C4" w:rsidRPr="00F81028">
        <w:t>Cohen</w:t>
      </w:r>
      <w:r w:rsidR="004422C4">
        <w:t xml:space="preserve">, </w:t>
      </w:r>
      <w:r w:rsidRPr="00F81028">
        <w:t>Mai</w:t>
      </w:r>
      <w:r w:rsidR="00D95D34">
        <w:t>er, Schwartz, and Whitcomb (1981</w:t>
      </w:r>
      <w:r w:rsidRPr="00F81028">
        <w:t xml:space="preserve">) </w:t>
      </w:r>
      <w:r w:rsidR="000E48E6">
        <w:t xml:space="preserve">(“CMSW”) </w:t>
      </w:r>
      <w:r w:rsidRPr="00F81028">
        <w:t xml:space="preserve">first formalized, suggests that traders choose to be takers or makers based on the net spreads that they pay or receive.  Since the maker-taker pricing scheme essentially simply involves a transfer from the takers to the makers, in competitive equilibrium, spreads should narrow to offset the transfer. </w:t>
      </w:r>
    </w:p>
    <w:p w:rsidR="0000494F" w:rsidRPr="00F81028" w:rsidRDefault="0000494F" w:rsidP="001F7591">
      <w:pPr>
        <w:pStyle w:val="BodyText"/>
      </w:pPr>
      <w:r w:rsidRPr="00F81028">
        <w:t xml:space="preserve">In practice, two issues make it </w:t>
      </w:r>
      <w:r w:rsidR="008360E8">
        <w:t xml:space="preserve">near </w:t>
      </w:r>
      <w:r w:rsidRPr="00F81028">
        <w:t>impossible to observe the expected decrease in spreads.  Most importantly, many other factors that affect bid-ask spreads have changed over the last 15 years.  The most important of these factors has been the introduction of electronic exchange trading systems and the associated growth of electronic dealers.  These innovations greatly reduced the costs of trading and therefore undoubtedly substantially reduced bid-ask spreads.  The observed reduction in bid-ask spreads over the last 15 years document</w:t>
      </w:r>
      <w:r w:rsidR="008360E8">
        <w:t>ed</w:t>
      </w:r>
      <w:r w:rsidRPr="00F81028">
        <w:t xml:space="preserve"> by numerous authors</w:t>
      </w:r>
      <w:r w:rsidR="006A5CC9">
        <w:rPr>
          <w:rStyle w:val="FootnoteReference"/>
        </w:rPr>
        <w:footnoteReference w:id="2"/>
      </w:r>
      <w:r w:rsidRPr="00F81028">
        <w:t xml:space="preserve"> cannot be entirely attributed to the introduction of maker-taker pricing, which occurred at different times for various exchanges.  </w:t>
      </w:r>
    </w:p>
    <w:p w:rsidR="0000494F" w:rsidRPr="00F81028" w:rsidRDefault="0000494F" w:rsidP="001F7591">
      <w:pPr>
        <w:pStyle w:val="BodyText"/>
      </w:pPr>
      <w:r w:rsidRPr="00F81028">
        <w:t xml:space="preserve">Second, spreads cannot decrease for stocks that </w:t>
      </w:r>
      <w:r w:rsidR="00EA0F6B">
        <w:t xml:space="preserve">already </w:t>
      </w:r>
      <w:r w:rsidRPr="00F81028">
        <w:t xml:space="preserve">trade </w:t>
      </w:r>
      <w:r w:rsidR="00EA0F6B">
        <w:t xml:space="preserve">at </w:t>
      </w:r>
      <w:r w:rsidRPr="00F81028">
        <w:t xml:space="preserve">one-tick spreads.  Instead, when liquidity rebates make offering liquidity more attractive, quotation sizes increase as makers compete to trade at </w:t>
      </w:r>
      <w:r w:rsidR="008360E8">
        <w:t xml:space="preserve">attractive </w:t>
      </w:r>
      <w:r w:rsidRPr="00F81028">
        <w:t xml:space="preserve">prices.  Note however, that an empirical study of </w:t>
      </w:r>
      <w:r w:rsidRPr="00F81028">
        <w:lastRenderedPageBreak/>
        <w:t xml:space="preserve">quotation sizes also cannot identify the effect of maker-taker pricing for the same reasons that a study of bid-asks spreads cannot do so:  </w:t>
      </w:r>
      <w:r w:rsidR="00EA0F6B">
        <w:t>T</w:t>
      </w:r>
      <w:r w:rsidRPr="00F81028">
        <w:t>oo many other factors that determine quotation sizes also have changed.</w:t>
      </w:r>
    </w:p>
    <w:p w:rsidR="0000494F" w:rsidRPr="00F81028" w:rsidRDefault="0000494F" w:rsidP="001F7591">
      <w:pPr>
        <w:pStyle w:val="BodyText"/>
      </w:pPr>
      <w:r w:rsidRPr="00F81028">
        <w:t xml:space="preserve">This </w:t>
      </w:r>
      <w:r w:rsidR="00EA0F6B">
        <w:t>study</w:t>
      </w:r>
      <w:r w:rsidRPr="00F81028">
        <w:t xml:space="preserve"> identifies </w:t>
      </w:r>
      <w:r w:rsidR="00EA0F6B">
        <w:t xml:space="preserve">secondary </w:t>
      </w:r>
      <w:r w:rsidRPr="00F81028">
        <w:t xml:space="preserve">empirical effects of maker-taker pricing by examining characteristics </w:t>
      </w:r>
      <w:r w:rsidR="00EA0F6B">
        <w:t xml:space="preserve">of </w:t>
      </w:r>
      <w:r w:rsidRPr="00F81028">
        <w:t xml:space="preserve">market data that are more uniquely related to maker-taker pricing than are average bid-asks spreads and </w:t>
      </w:r>
      <w:r w:rsidR="00EA0F6B">
        <w:t>quotation sizes.  In particular,</w:t>
      </w:r>
      <w:r w:rsidRPr="00F81028">
        <w:t xml:space="preserve"> the results presented here show that quoted prices are more informative when adjusted for access fees and liquidity rebates.  These results are a direct consequence of the fact that most sophisticated traders are concerned about net prices and not quoted prices.  This evidence thus strongly suggests that maker-taker pricing indeed has affected average bid-ask spreads and average quotation sizes for stocks often trading at one-tick spreads.</w:t>
      </w:r>
    </w:p>
    <w:p w:rsidR="0000494F" w:rsidRPr="00F81028" w:rsidRDefault="0000494F" w:rsidP="001F7591">
      <w:pPr>
        <w:pStyle w:val="BodyText"/>
      </w:pPr>
      <w:r w:rsidRPr="00F81028">
        <w:t xml:space="preserve">These results are important to practitioners, regulators, and academics.  Practitioners are interested because access fees and liquidity rebates are often large components of overall transaction costs, especially for small trades in low price stocks.  For example, when the quoted bid-ask spread is </w:t>
      </w:r>
      <w:r w:rsidR="00F91FAB">
        <w:t>1</w:t>
      </w:r>
      <w:r w:rsidR="00F91FAB">
        <w:rPr>
          <w:rFonts w:cstheme="minorHAnsi"/>
        </w:rPr>
        <w:t>¢</w:t>
      </w:r>
      <w:proofErr w:type="gramStart"/>
      <w:r w:rsidRPr="00F81028">
        <w:t>,</w:t>
      </w:r>
      <w:proofErr w:type="gramEnd"/>
      <w:r w:rsidRPr="00F81028">
        <w:t xml:space="preserve"> the average cost of taking the market is one-half the spread plus the 0.3</w:t>
      </w:r>
      <w:r w:rsidR="00F91FAB">
        <w:rPr>
          <w:rFonts w:cstheme="minorHAnsi"/>
        </w:rPr>
        <w:t>¢</w:t>
      </w:r>
      <w:r w:rsidRPr="00F81028">
        <w:t xml:space="preserve"> access fee.</w:t>
      </w:r>
      <w:r w:rsidRPr="00F81028">
        <w:rPr>
          <w:vertAlign w:val="superscript"/>
        </w:rPr>
        <w:footnoteReference w:id="3"/>
      </w:r>
      <w:r w:rsidRPr="00F81028">
        <w:t xml:space="preserve">  The net cost, 0.</w:t>
      </w:r>
      <w:r w:rsidR="00F91FAB">
        <w:t>6</w:t>
      </w:r>
      <w:r w:rsidR="00F91FAB">
        <w:rPr>
          <w:rFonts w:cstheme="minorHAnsi"/>
        </w:rPr>
        <w:t>¢</w:t>
      </w:r>
      <w:r w:rsidR="009F1106">
        <w:rPr>
          <w:rFonts w:cstheme="minorHAnsi"/>
        </w:rPr>
        <w:t>/</w:t>
      </w:r>
      <w:r w:rsidRPr="00F81028">
        <w:t>share</w:t>
      </w:r>
      <w:r w:rsidR="001873E5">
        <w:t>,</w:t>
      </w:r>
      <w:r w:rsidRPr="00F81028">
        <w:t xml:space="preserve"> is 60% larger than the cost based only on the quoted spread.  Practitioners, whether on the buy-side or sell-side, will make better trading decisions by focusing on net prices rather than quoted prices.  </w:t>
      </w:r>
    </w:p>
    <w:p w:rsidR="0000494F" w:rsidRPr="00F81028" w:rsidRDefault="0000494F" w:rsidP="001F7591">
      <w:pPr>
        <w:pStyle w:val="BodyText"/>
      </w:pPr>
      <w:r w:rsidRPr="00F81028">
        <w:t xml:space="preserve">Several concerns motivate regulator interest in maker-taker pricing: </w:t>
      </w:r>
    </w:p>
    <w:p w:rsidR="0000494F" w:rsidRPr="00F81028" w:rsidRDefault="0000494F" w:rsidP="001F7591">
      <w:pPr>
        <w:pStyle w:val="BodyText"/>
        <w:numPr>
          <w:ilvl w:val="0"/>
          <w:numId w:val="4"/>
        </w:numPr>
      </w:pPr>
      <w:r w:rsidRPr="00F81028">
        <w:t xml:space="preserve">As discussed in detail in the next section, maker-taker pricing creates an agency problem between brokers and their clients when the clients do not receive the liquidity rebates or when business models prevent brokers from passing on the access fees.  </w:t>
      </w:r>
    </w:p>
    <w:p w:rsidR="0000494F" w:rsidRPr="00F81028" w:rsidRDefault="0000494F" w:rsidP="001F7591">
      <w:pPr>
        <w:pStyle w:val="BodyText"/>
        <w:numPr>
          <w:ilvl w:val="0"/>
          <w:numId w:val="4"/>
        </w:numPr>
      </w:pPr>
      <w:r w:rsidRPr="00F81028">
        <w:t xml:space="preserve">Maker-taker pricing creates a transparency problem since quoted spreads are different from the more economically meaningful net spreads and since most retail traders are unaware of the difference.  </w:t>
      </w:r>
    </w:p>
    <w:p w:rsidR="0000494F" w:rsidRPr="00F81028" w:rsidRDefault="0000494F" w:rsidP="001F7591">
      <w:pPr>
        <w:pStyle w:val="BodyText"/>
        <w:numPr>
          <w:ilvl w:val="0"/>
          <w:numId w:val="4"/>
        </w:numPr>
      </w:pPr>
      <w:r w:rsidRPr="00F81028">
        <w:t xml:space="preserve">Maker-taker pricing and its recent variant, taker-maker pricing (discussed in the conclusion), represent a means by which exchanges can permit net quotes on </w:t>
      </w:r>
      <w:r w:rsidR="008666D6">
        <w:t>sub-penny</w:t>
      </w:r>
      <w:r w:rsidRPr="00F81028">
        <w:t xml:space="preserve"> increments.  These pricing models thus represent loopholes through which exchanges and their more sophisticated clients can subvert the prohibition on </w:t>
      </w:r>
      <w:r w:rsidR="008666D6">
        <w:t>sub-penny</w:t>
      </w:r>
      <w:r w:rsidRPr="00F81028">
        <w:t xml:space="preserve"> quotation pricing in Reg</w:t>
      </w:r>
      <w:r w:rsidR="006A5CC9">
        <w:t>ulation</w:t>
      </w:r>
      <w:r w:rsidRPr="00F81028">
        <w:t xml:space="preserve"> NMS.  This loophole allows sophisticated electronic traders to front-run buy-side traders.  </w:t>
      </w:r>
    </w:p>
    <w:p w:rsidR="0000494F" w:rsidRPr="00F81028" w:rsidRDefault="0000494F" w:rsidP="001F7591">
      <w:pPr>
        <w:pStyle w:val="BodyText"/>
        <w:numPr>
          <w:ilvl w:val="0"/>
          <w:numId w:val="4"/>
        </w:numPr>
      </w:pPr>
      <w:r w:rsidRPr="00F81028">
        <w:t>Maker-taker pricing increases incentives to route market orders for exec</w:t>
      </w:r>
      <w:r w:rsidR="001873E5">
        <w:t>ution in venues that do not char</w:t>
      </w:r>
      <w:r w:rsidRPr="00F81028">
        <w:t xml:space="preserve">ge access fees.  These venues include dealers who internalize their client order flows, dealers who pay brokers to preference their customers’ orders them, and various dark pools that match buyers and sellers. </w:t>
      </w:r>
    </w:p>
    <w:p w:rsidR="0000494F" w:rsidRPr="00F81028" w:rsidRDefault="0000494F" w:rsidP="001F7591">
      <w:pPr>
        <w:pStyle w:val="BodyText"/>
        <w:numPr>
          <w:ilvl w:val="0"/>
          <w:numId w:val="4"/>
        </w:numPr>
      </w:pPr>
      <w:r w:rsidRPr="00F81028">
        <w:lastRenderedPageBreak/>
        <w:t xml:space="preserve">Finally, maker-taker pricing makes markets unnecessarily complex at the cost of creating agency problems </w:t>
      </w:r>
      <w:r w:rsidR="001873E5">
        <w:t xml:space="preserve">and </w:t>
      </w:r>
      <w:r w:rsidRPr="00F81028">
        <w:t>without the benefit of adding any positive value.  Financial risk managers trained in systems engineering recognize that complexity is an important cause of systemic risk.</w:t>
      </w:r>
      <w:r w:rsidR="00127D52">
        <w:rPr>
          <w:rStyle w:val="FootnoteReference"/>
        </w:rPr>
        <w:footnoteReference w:id="4"/>
      </w:r>
      <w:r w:rsidRPr="00F81028">
        <w:t xml:space="preserve">  The additional complexity associated with maker-taker pricing works against efforts to reduce systemic risk.  </w:t>
      </w:r>
    </w:p>
    <w:p w:rsidR="0000494F" w:rsidRDefault="0000494F" w:rsidP="001F7591">
      <w:pPr>
        <w:pStyle w:val="BodyText"/>
      </w:pPr>
      <w:r w:rsidRPr="00F81028">
        <w:t xml:space="preserve">Maker-taker pricing interests academics for the opportunity to empirically explore implications of the equilibrium spread theory (as done in this study) and to examine associated agency problems. </w:t>
      </w:r>
    </w:p>
    <w:p w:rsidR="0044226A" w:rsidRDefault="0044226A" w:rsidP="001F7591">
      <w:pPr>
        <w:pStyle w:val="BodyText"/>
      </w:pPr>
      <w:r>
        <w:t>The regulatory problems associated with the maker</w:t>
      </w:r>
      <w:r w:rsidR="001873E5">
        <w:t>-</w:t>
      </w:r>
      <w:r>
        <w:t>take</w:t>
      </w:r>
      <w:r w:rsidR="001873E5">
        <w:t>r</w:t>
      </w:r>
      <w:r>
        <w:t xml:space="preserve"> pricing scheme also have generated substantial attention from politicians.  For example, Senator Charles Schumer</w:t>
      </w:r>
      <w:r w:rsidR="001873E5">
        <w:t>,</w:t>
      </w:r>
      <w:r>
        <w:t xml:space="preserve"> </w:t>
      </w:r>
      <w:r w:rsidR="00BD08D1">
        <w:t>among others</w:t>
      </w:r>
      <w:r w:rsidR="001873E5">
        <w:t>,</w:t>
      </w:r>
      <w:r w:rsidR="00BD08D1">
        <w:t xml:space="preserve"> </w:t>
      </w:r>
      <w:r>
        <w:t xml:space="preserve">has called upon the SEC to </w:t>
      </w:r>
      <w:r w:rsidR="00BD08D1">
        <w:t>require that liquidity rebates be passed through to clients.</w:t>
      </w:r>
      <w:r w:rsidR="00BD08D1">
        <w:rPr>
          <w:rStyle w:val="FootnoteReference"/>
        </w:rPr>
        <w:footnoteReference w:id="5"/>
      </w:r>
      <w:r w:rsidR="00BD08D1">
        <w:t xml:space="preserve"> </w:t>
      </w:r>
    </w:p>
    <w:p w:rsidR="00C23CE7" w:rsidRDefault="00C23CE7" w:rsidP="00C23CE7">
      <w:pPr>
        <w:pStyle w:val="Heading2"/>
      </w:pPr>
      <w:r>
        <w:t>Non-price Competition</w:t>
      </w:r>
    </w:p>
    <w:p w:rsidR="00C23CE7" w:rsidRDefault="00C23CE7" w:rsidP="00C23CE7">
      <w:pPr>
        <w:pStyle w:val="BodyText"/>
      </w:pPr>
      <w:r>
        <w:t>The results in this study are also interesting because they show how traders compete to offer liquidity when the minimum price variation (“tick”) sets a binding lower bound on bid-ask spreads.  Th</w:t>
      </w:r>
      <w:r w:rsidR="00237DBC">
        <w:t>is</w:t>
      </w:r>
      <w:r>
        <w:t xml:space="preserve"> topic interests regulators, practitioners and academics because a large tick prevents price competition among traders.  Instead traders must queue to get their orders executed.  Many people </w:t>
      </w:r>
      <w:r w:rsidR="00D13591">
        <w:t xml:space="preserve">now </w:t>
      </w:r>
      <w:r>
        <w:t>think that tick sizes are too small for some low priced actively traded securities</w:t>
      </w:r>
      <w:r w:rsidR="00D13591">
        <w:t>, and the SEC is considering a pilot study which would permit a smaller tick for the</w:t>
      </w:r>
      <w:r w:rsidR="00237DBC">
        <w:t xml:space="preserve"> most actively traded low price</w:t>
      </w:r>
      <w:r w:rsidR="00D13591">
        <w:t xml:space="preserve"> stocks</w:t>
      </w:r>
      <w:r>
        <w:t xml:space="preserve">.  </w:t>
      </w:r>
    </w:p>
    <w:p w:rsidR="00536A42" w:rsidRDefault="00C23CE7" w:rsidP="00C23CE7">
      <w:pPr>
        <w:pStyle w:val="BodyText"/>
      </w:pPr>
      <w:r>
        <w:t xml:space="preserve">This paper examines how these securities trade.  </w:t>
      </w:r>
      <w:r w:rsidR="007625BB">
        <w:t xml:space="preserve">The results strongly support the view that makers compete to offer size when </w:t>
      </w:r>
      <w:r w:rsidR="00784401">
        <w:t xml:space="preserve">the minimum price variation </w:t>
      </w:r>
      <w:r w:rsidR="00536A42">
        <w:t xml:space="preserve">prevents </w:t>
      </w:r>
      <w:r w:rsidR="00784401">
        <w:t xml:space="preserve">them from </w:t>
      </w:r>
      <w:r w:rsidR="007625BB">
        <w:t>offer</w:t>
      </w:r>
      <w:r w:rsidR="00784401">
        <w:t>ing</w:t>
      </w:r>
      <w:r w:rsidR="007625BB">
        <w:t xml:space="preserve"> better prices.  This competition causes quotation sizes to reflect trader information about values.  </w:t>
      </w:r>
      <w:r w:rsidR="00536A42">
        <w:t xml:space="preserve">Since maker-taker pricing affects quotation decisions, the information in the quoted sizes is best extracted by adjusting for the maker-taker fees and rebates. </w:t>
      </w:r>
    </w:p>
    <w:p w:rsidR="00536A42" w:rsidRDefault="00536A42" w:rsidP="00C23CE7">
      <w:pPr>
        <w:pStyle w:val="BodyText"/>
      </w:pPr>
      <w:r>
        <w:t>The two topics—</w:t>
      </w:r>
      <w:r w:rsidR="002E0584">
        <w:t xml:space="preserve">the impact of </w:t>
      </w:r>
      <w:r>
        <w:t xml:space="preserve">maker-taker pricing and </w:t>
      </w:r>
      <w:r w:rsidR="002E0584">
        <w:t xml:space="preserve">the effects of a large minimum price variation—are closely linked to each other.  By narrowing net spreads, maker-taker pricing partially mitigates the importance of the minimum price variation.  And a large minimum price variation minimizes the economic </w:t>
      </w:r>
      <w:r w:rsidR="00D13591">
        <w:t xml:space="preserve">importance </w:t>
      </w:r>
      <w:r w:rsidR="00FD5AC3">
        <w:t>of maker-taker pricing.</w:t>
      </w:r>
    </w:p>
    <w:p w:rsidR="0000494F" w:rsidRPr="00F81028" w:rsidRDefault="0000494F" w:rsidP="001F7591">
      <w:pPr>
        <w:pStyle w:val="BodyText"/>
      </w:pPr>
      <w:r w:rsidRPr="00F81028">
        <w:t xml:space="preserve">The organization of this article is as follows:  Section 2 presents a quick description of the growth of maker-taker price and its implications for trader behavior.  The next section outlines the empirical study.  Section 4 describes the data while Section 5 provides the main empirical results.  The article concludes in Section 6 with a discussion of implications for market structure. </w:t>
      </w:r>
    </w:p>
    <w:p w:rsidR="007F37EB" w:rsidRDefault="00782DC1" w:rsidP="007F37EB">
      <w:pPr>
        <w:pStyle w:val="Heading1"/>
      </w:pPr>
      <w:r>
        <w:t>Maker</w:t>
      </w:r>
      <w:r w:rsidR="00BE3B67">
        <w:t>-</w:t>
      </w:r>
      <w:r>
        <w:t>Taker Pricing</w:t>
      </w:r>
    </w:p>
    <w:p w:rsidR="00784BE7" w:rsidRDefault="00784BE7" w:rsidP="00784BE7">
      <w:pPr>
        <w:pStyle w:val="Heading2"/>
      </w:pPr>
      <w:r>
        <w:t>History</w:t>
      </w:r>
    </w:p>
    <w:p w:rsidR="00502616" w:rsidRDefault="0000494F" w:rsidP="001F7591">
      <w:pPr>
        <w:pStyle w:val="BodyText"/>
      </w:pPr>
      <w:r w:rsidRPr="00F81028">
        <w:t xml:space="preserve">Soon after ECNs started business in the US, they adopted maker-taker pricing schemes to attract more liquidity to their </w:t>
      </w:r>
      <w:proofErr w:type="gramStart"/>
      <w:r w:rsidRPr="00F81028">
        <w:t>systems.</w:t>
      </w:r>
      <w:r w:rsidRPr="00F81028">
        <w:rPr>
          <w:vertAlign w:val="superscript"/>
        </w:rPr>
        <w:footnoteReference w:id="6"/>
      </w:r>
      <w:r w:rsidR="00BB4892">
        <w:rPr>
          <w:vertAlign w:val="superscript"/>
        </w:rPr>
        <w:t>,</w:t>
      </w:r>
      <w:proofErr w:type="gramEnd"/>
      <w:r w:rsidR="00BB4892">
        <w:rPr>
          <w:rStyle w:val="FootnoteReference"/>
        </w:rPr>
        <w:footnoteReference w:id="7"/>
      </w:r>
      <w:r w:rsidRPr="00F81028">
        <w:t xml:space="preserve">  </w:t>
      </w:r>
      <w:r w:rsidR="00BB4892">
        <w:t xml:space="preserve">The first system to introduce this scheme was Island ECN in 1997.  </w:t>
      </w:r>
    </w:p>
    <w:p w:rsidR="0000494F" w:rsidRPr="00F81028" w:rsidRDefault="0000494F" w:rsidP="001F7591">
      <w:pPr>
        <w:pStyle w:val="BodyText"/>
      </w:pPr>
      <w:r w:rsidRPr="00F81028">
        <w:t>The liquidity rebates encouraged brokers to post customer limit orders in their systems, which generated revenues for these brokers when these customer orders executed.  The rebates also encouraged proprietary traders to make markets in their trading systems.  Since takers paid the high access fee when trading with these orders, brokers and proprietary traders typically routed their taking orders first to traditional-fee exchanges (and off exchange-dealers) when the same prices were available at these other trading venues.  The standing orders at maker-taker exchanges thus usually were the last orders to trade at their prices.  Although this consequence was disadvantageous to the customers, in the absence of regulatory criticism of this obvious agency problem, the brokers continued to route customer orders to the ECNs to obtain the liquidity rebates.  To remain competitive, all US equity exchanges ultimately adopted the maker-taker pricing model.</w:t>
      </w:r>
    </w:p>
    <w:p w:rsidR="0000494F" w:rsidRPr="00F81028" w:rsidRDefault="0000494F" w:rsidP="001F7591">
      <w:pPr>
        <w:pStyle w:val="BodyText"/>
      </w:pPr>
      <w:r w:rsidRPr="00F81028">
        <w:t>The competition for order flow among ECNs using the maker-taker pricing model encouraged the ECNs to play a game of leap frog in which they took turns increasing their liquidity rebates (and associated access fees) in attempts to attract more order flow.  This competition reached its apex when the ATTAIN ECN charged non-subscribers 1.5</w:t>
      </w:r>
      <w:r w:rsidR="00F91FAB">
        <w:rPr>
          <w:rFonts w:cstheme="minorHAnsi"/>
        </w:rPr>
        <w:t>¢</w:t>
      </w:r>
      <w:r w:rsidR="009F1106">
        <w:rPr>
          <w:rFonts w:cstheme="minorHAnsi"/>
        </w:rPr>
        <w:t>/</w:t>
      </w:r>
      <w:r w:rsidRPr="00F81028">
        <w:t xml:space="preserve">share access fees in </w:t>
      </w:r>
      <w:commentRangeStart w:id="3"/>
      <w:r w:rsidRPr="00F81028">
        <w:t>1998</w:t>
      </w:r>
      <w:commentRangeEnd w:id="3"/>
      <w:r w:rsidRPr="00F81028">
        <w:rPr>
          <w:sz w:val="16"/>
          <w:szCs w:val="16"/>
        </w:rPr>
        <w:commentReference w:id="3"/>
      </w:r>
      <w:r w:rsidR="00502616">
        <w:t>.</w:t>
      </w:r>
      <w:r w:rsidRPr="00F81028">
        <w:t xml:space="preserve">  The SEC Division of Market Regulation (since renamed Trading and Markets) put a stop to this game with an interpretive letter that effectively limited access fees to </w:t>
      </w:r>
      <w:r w:rsidR="00F36932" w:rsidRPr="00F81028">
        <w:t>0.3¢</w:t>
      </w:r>
      <w:r w:rsidR="00F36932">
        <w:t>/</w:t>
      </w:r>
      <w:r w:rsidR="00F36932" w:rsidRPr="00F81028">
        <w:t xml:space="preserve">share.  This limit </w:t>
      </w:r>
      <w:r w:rsidRPr="00F81028">
        <w:t xml:space="preserve">later was formally incorporated into Regulation NMS in </w:t>
      </w:r>
      <w:commentRangeStart w:id="4"/>
      <w:commentRangeStart w:id="5"/>
      <w:r w:rsidRPr="00F81028">
        <w:t>2005</w:t>
      </w:r>
      <w:commentRangeEnd w:id="4"/>
      <w:commentRangeEnd w:id="5"/>
      <w:r w:rsidRPr="00F81028">
        <w:rPr>
          <w:sz w:val="16"/>
          <w:szCs w:val="16"/>
        </w:rPr>
        <w:commentReference w:id="4"/>
      </w:r>
      <w:r w:rsidRPr="00F81028">
        <w:rPr>
          <w:sz w:val="16"/>
          <w:szCs w:val="16"/>
        </w:rPr>
        <w:commentReference w:id="5"/>
      </w:r>
      <w:r w:rsidRPr="00F81028">
        <w:t>.</w:t>
      </w:r>
      <w:r w:rsidR="00F36932">
        <w:t xml:space="preserve">  Most access fees are now at or just under </w:t>
      </w:r>
      <w:r w:rsidR="00F36932" w:rsidRPr="00F81028">
        <w:t>0.3¢</w:t>
      </w:r>
      <w:r w:rsidR="00F36932">
        <w:t>/</w:t>
      </w:r>
      <w:r w:rsidR="00F36932" w:rsidRPr="00F81028">
        <w:t>share.</w:t>
      </w:r>
      <w:r w:rsidR="00F36932">
        <w:rPr>
          <w:rStyle w:val="FootnoteReference"/>
        </w:rPr>
        <w:footnoteReference w:id="8"/>
      </w:r>
      <w:r w:rsidR="00F36932" w:rsidRPr="00F81028">
        <w:t xml:space="preserve"> </w:t>
      </w:r>
    </w:p>
    <w:p w:rsidR="0000494F" w:rsidRDefault="0000494F" w:rsidP="001F7591">
      <w:pPr>
        <w:pStyle w:val="BodyText"/>
      </w:pPr>
      <w:r w:rsidRPr="00F81028">
        <w:t>The typical difference between access fees and liquidity rebates used to be 0.1</w:t>
      </w:r>
      <w:r w:rsidR="00F91FAB">
        <w:rPr>
          <w:rFonts w:cstheme="minorHAnsi"/>
        </w:rPr>
        <w:t>¢</w:t>
      </w:r>
      <w:r w:rsidR="009F1106">
        <w:rPr>
          <w:rFonts w:cstheme="minorHAnsi"/>
        </w:rPr>
        <w:t>/</w:t>
      </w:r>
      <w:r w:rsidRPr="00F81028">
        <w:t>share, which was approximately the level of the typical traditional exchange transaction fee.  Competition among electronic exchanges over the last few years has pushed this difference down to approximately 0.05</w:t>
      </w:r>
      <w:r w:rsidR="00F91FAB">
        <w:rPr>
          <w:rFonts w:cstheme="minorHAnsi"/>
        </w:rPr>
        <w:t>¢</w:t>
      </w:r>
      <w:r w:rsidR="009F1106">
        <w:rPr>
          <w:rFonts w:cstheme="minorHAnsi"/>
        </w:rPr>
        <w:t>/</w:t>
      </w:r>
      <w:r w:rsidRPr="00F81028">
        <w:t xml:space="preserve">share. </w:t>
      </w:r>
    </w:p>
    <w:p w:rsidR="0000494F" w:rsidRPr="00F81028" w:rsidRDefault="0000494F" w:rsidP="001F7591">
      <w:pPr>
        <w:pStyle w:val="BodyText"/>
      </w:pPr>
      <w:r w:rsidRPr="00F81028">
        <w:t xml:space="preserve">The US options markets </w:t>
      </w:r>
      <w:r w:rsidR="00F36932" w:rsidRPr="00F81028">
        <w:t xml:space="preserve">now </w:t>
      </w:r>
      <w:r w:rsidRPr="00F81028">
        <w:t xml:space="preserve">are almost all maker-taker markets with the exception of the CBOE, which remains a traditional fee market.  </w:t>
      </w:r>
      <w:r w:rsidR="00F36932">
        <w:t>(T</w:t>
      </w:r>
      <w:r w:rsidRPr="00F81028">
        <w:t xml:space="preserve">he CBOE also runs the fully electronic maker-taker C2 Options Exchange </w:t>
      </w:r>
      <w:r w:rsidR="00F36932">
        <w:t xml:space="preserve">as </w:t>
      </w:r>
      <w:r w:rsidRPr="00F81028">
        <w:t xml:space="preserve">a separate </w:t>
      </w:r>
      <w:commentRangeStart w:id="6"/>
      <w:r w:rsidRPr="00F81028">
        <w:t>exchange</w:t>
      </w:r>
      <w:commentRangeEnd w:id="6"/>
      <w:r w:rsidRPr="00F81028">
        <w:rPr>
          <w:sz w:val="16"/>
          <w:szCs w:val="16"/>
        </w:rPr>
        <w:commentReference w:id="6"/>
      </w:r>
      <w:r w:rsidRPr="00F81028">
        <w:t>.</w:t>
      </w:r>
      <w:r w:rsidR="00F36932">
        <w:t xml:space="preserve">)  However, </w:t>
      </w:r>
      <w:r w:rsidR="00502616">
        <w:t xml:space="preserve">order routing </w:t>
      </w:r>
      <w:r w:rsidR="00F36932">
        <w:t xml:space="preserve">in traditional fee </w:t>
      </w:r>
      <w:r w:rsidR="00502616">
        <w:t xml:space="preserve">options </w:t>
      </w:r>
      <w:r w:rsidR="00F36932">
        <w:t>markets is strongly influenced by payments for order flow</w:t>
      </w:r>
      <w:r w:rsidR="00502616">
        <w:t xml:space="preserve"> made by designated dealers</w:t>
      </w:r>
      <w:r w:rsidR="00F36932">
        <w:t>, which are essentiall</w:t>
      </w:r>
      <w:r w:rsidR="00502616">
        <w:t xml:space="preserve">y negative access fees. </w:t>
      </w:r>
    </w:p>
    <w:p w:rsidR="00784BE7" w:rsidRDefault="00F2019E" w:rsidP="00784BE7">
      <w:pPr>
        <w:pStyle w:val="Heading2"/>
      </w:pPr>
      <w:r>
        <w:t>Implications</w:t>
      </w:r>
    </w:p>
    <w:p w:rsidR="0000494F" w:rsidRPr="00F81028" w:rsidRDefault="0000494F" w:rsidP="001F7591">
      <w:pPr>
        <w:pStyle w:val="BodyText"/>
      </w:pPr>
      <w:r w:rsidRPr="00F81028">
        <w:t>Holding constant the quoted bid and ask prices, the 0.3¢</w:t>
      </w:r>
      <w:r w:rsidR="009F1106">
        <w:t>/</w:t>
      </w:r>
      <w:r w:rsidRPr="00F81028">
        <w:t>share access fee effectively increases net bid-ask spreads paid by makers by 0.6¢</w:t>
      </w:r>
      <w:r w:rsidR="009F1106">
        <w:t>/</w:t>
      </w:r>
      <w:r w:rsidRPr="00F81028">
        <w:t xml:space="preserve">share over the quoted market spreads.  Buyers who initiate trades pay the quoted ask price plus </w:t>
      </w:r>
      <w:r w:rsidR="004B5BF8">
        <w:t xml:space="preserve">the </w:t>
      </w:r>
      <w:r w:rsidRPr="00F81028">
        <w:t>0.3¢ access fee while taking sellers receive the quoted bid price less the 0.3¢ access fee.  The net spread received by makers likewise increases by approximately 0.5¢</w:t>
      </w:r>
      <w:r w:rsidR="009F1106">
        <w:t>/</w:t>
      </w:r>
      <w:r w:rsidRPr="00F81028">
        <w:t xml:space="preserve">share.  </w:t>
      </w:r>
    </w:p>
    <w:p w:rsidR="0000494F" w:rsidRPr="00F81028" w:rsidRDefault="0000494F" w:rsidP="001F7591">
      <w:pPr>
        <w:pStyle w:val="BodyText"/>
      </w:pPr>
      <w:r w:rsidRPr="00F81028">
        <w:t>These changes in net spreads affect the incentives to take or make markets.  In particular, holding constant the quoted spread, the access fees render taking liquidity less attractive</w:t>
      </w:r>
      <w:r w:rsidR="004B5BF8">
        <w:t>,</w:t>
      </w:r>
      <w:r w:rsidRPr="00F81028">
        <w:t xml:space="preserve"> and the liquidity rebates render making markets more attractive.  Following the adoption of maker-taker pricing, quoted bid-ask spreads thus had to decrease to restore the equilibrium between taking and making first formally described in </w:t>
      </w:r>
      <w:r w:rsidR="000E48E6" w:rsidRPr="00F81028">
        <w:t>C</w:t>
      </w:r>
      <w:r w:rsidR="000E48E6">
        <w:t>MSW</w:t>
      </w:r>
      <w:r w:rsidR="000E48E6" w:rsidRPr="00F81028">
        <w:t xml:space="preserve">.  </w:t>
      </w:r>
    </w:p>
    <w:p w:rsidR="0000494F" w:rsidRPr="00F81028" w:rsidRDefault="0000494F" w:rsidP="001F7591">
      <w:pPr>
        <w:pStyle w:val="BodyText"/>
      </w:pPr>
      <w:r w:rsidRPr="00F81028">
        <w:t xml:space="preserve">The CMSW equilibrium spread model describes how bid-ask spreads regulate whether traders take or make markets.  When spreads are too wide, making markets is more attractive than taking markets and overall volumes drop as most traders want to make markets and few are willing to take markets.  As traders switch from taking to making, they quote more aggressively as they compete to trade and they thereby decrease spreads and restore equilibrium.  Likewise, when spreads are too narrow, taking markets is more attractive than making markets and overall volumes drop as most traders want to take markets but few are willing to make markets.  The competition to take markets widens spreads and restores equilibrium.  The equilibrium spread occurs at quoted spreads that equate the total volume that </w:t>
      </w:r>
      <w:proofErr w:type="gramStart"/>
      <w:r w:rsidRPr="00F81028">
        <w:t>trade</w:t>
      </w:r>
      <w:proofErr w:type="gramEnd"/>
      <w:r w:rsidRPr="00F81028">
        <w:t xml:space="preserve"> initiators want to trade to the total volume the makers want to trade.</w:t>
      </w:r>
    </w:p>
    <w:p w:rsidR="0000494F" w:rsidRPr="00F81028" w:rsidRDefault="0000494F" w:rsidP="001F7591">
      <w:pPr>
        <w:pStyle w:val="BodyText"/>
      </w:pPr>
      <w:r w:rsidRPr="00F81028">
        <w:t>A trivial extension of the CMSW model predicts that, holding all other things constant, average quoted spreads should have decreased by approximately 0.6¢</w:t>
      </w:r>
      <w:r w:rsidR="009F1106">
        <w:t>/</w:t>
      </w:r>
      <w:r w:rsidRPr="00F81028">
        <w:t>share following the widespread adoption of maker-taker pricing.  The uncertainty in the prediction is due to uncertainty about the burden of the net exchange fee of 0.5¢.  If the entire burden falls on the takers, an access fee of 0.3¢</w:t>
      </w:r>
      <w:r w:rsidR="009F1106">
        <w:t>/</w:t>
      </w:r>
      <w:r w:rsidRPr="00F81028">
        <w:t>share would narrow by spreads by 0.6¢.  The elimination of a 0.05¢ traditional fee would further reduce spreads by 0.05¢, for a net decrease of 0.65¢.  In contrast, if the entire burden falls on the makers, a liquidity rebate of 0.25¢</w:t>
      </w:r>
      <w:r w:rsidR="009F1106">
        <w:t>/</w:t>
      </w:r>
      <w:r w:rsidRPr="00F81028">
        <w:t>share would narrow by spreads by 0.5¢.  The elimination of a 0.05¢ traditional fee would further reduce spreads by 0.05¢, for a net decrease of 0.55¢.</w:t>
      </w:r>
    </w:p>
    <w:p w:rsidR="0000494F" w:rsidRDefault="0000494F" w:rsidP="001F7591">
      <w:pPr>
        <w:pStyle w:val="BodyText"/>
      </w:pPr>
      <w:r w:rsidRPr="00F81028">
        <w:t xml:space="preserve">In practice, as noted in the introduction, </w:t>
      </w:r>
      <w:r w:rsidR="00CE0569">
        <w:t xml:space="preserve">many </w:t>
      </w:r>
      <w:r w:rsidRPr="00F81028">
        <w:t xml:space="preserve">concurrent changes in the markets make identifying such a decrease empirically </w:t>
      </w:r>
      <w:r w:rsidR="000C7F40">
        <w:t>very challenging</w:t>
      </w:r>
      <w:r w:rsidRPr="00F81028">
        <w:t>.  Moreover, the one-tick minimum price variation prevents the quotation of tighter bid-ask spreads for those stocks that commonly are quoted with one-tick spreads.  For these stocks, maker-taker pricing presumably increases displayed sizes as traders compete to obtain the liquidity rebates.</w:t>
      </w:r>
    </w:p>
    <w:p w:rsidR="000C7F40" w:rsidRDefault="000C7F40" w:rsidP="000C7F40">
      <w:pPr>
        <w:pStyle w:val="Heading2"/>
      </w:pPr>
      <w:r>
        <w:t>Related Literature</w:t>
      </w:r>
    </w:p>
    <w:p w:rsidR="000C7F40" w:rsidRDefault="00F36932" w:rsidP="000C7F40">
      <w:pPr>
        <w:pStyle w:val="BodyText"/>
      </w:pPr>
      <w:r>
        <w:t>T</w:t>
      </w:r>
      <w:r w:rsidR="000C7F40">
        <w:t xml:space="preserve">wo </w:t>
      </w:r>
      <w:r w:rsidR="00CE0569">
        <w:t xml:space="preserve">event </w:t>
      </w:r>
      <w:r w:rsidR="000C7F40">
        <w:t xml:space="preserve">studies </w:t>
      </w:r>
      <w:r w:rsidR="00CE0569">
        <w:t xml:space="preserve">consider new </w:t>
      </w:r>
      <w:r w:rsidR="000C7F40">
        <w:t xml:space="preserve">adoptions of maker-taker pricing schemes to identify the effects of the change in </w:t>
      </w:r>
      <w:r w:rsidR="008F3D6B">
        <w:t xml:space="preserve">the exchange </w:t>
      </w:r>
      <w:r w:rsidR="000C7F40">
        <w:t xml:space="preserve">pricing scheme.  These </w:t>
      </w:r>
      <w:r w:rsidR="008F3D6B">
        <w:t xml:space="preserve">studies </w:t>
      </w:r>
      <w:r w:rsidR="000C7F40">
        <w:t xml:space="preserve">are one-shot event studies for which </w:t>
      </w:r>
      <w:r w:rsidR="00CE0569">
        <w:t>c</w:t>
      </w:r>
      <w:r w:rsidR="000C7F40">
        <w:t xml:space="preserve">ontrols for other effects on spreads may be difficult.  </w:t>
      </w:r>
      <w:proofErr w:type="spellStart"/>
      <w:r w:rsidR="000E48E6" w:rsidRPr="00E0791B">
        <w:t>Malinova</w:t>
      </w:r>
      <w:proofErr w:type="spellEnd"/>
      <w:r w:rsidR="000E48E6">
        <w:t xml:space="preserve"> and </w:t>
      </w:r>
      <w:r w:rsidR="000E48E6" w:rsidRPr="00E0791B">
        <w:t>Park</w:t>
      </w:r>
      <w:r w:rsidR="000E48E6">
        <w:t xml:space="preserve"> (2011) </w:t>
      </w:r>
      <w:proofErr w:type="gramStart"/>
      <w:r w:rsidR="000E48E6">
        <w:t>analyze</w:t>
      </w:r>
      <w:r>
        <w:t>s</w:t>
      </w:r>
      <w:proofErr w:type="gramEnd"/>
      <w:r w:rsidR="000E48E6">
        <w:t xml:space="preserve"> the 2005 introduction of maker</w:t>
      </w:r>
      <w:r w:rsidR="009C7160">
        <w:t>-</w:t>
      </w:r>
      <w:r w:rsidR="000E48E6">
        <w:t xml:space="preserve">taker pricing at the Toronto Stock Exchange.  They find that spreads narrowed and depths increased.  </w:t>
      </w:r>
      <w:proofErr w:type="spellStart"/>
      <w:r w:rsidR="000C7F40" w:rsidRPr="000E48E6">
        <w:t>Lutat</w:t>
      </w:r>
      <w:proofErr w:type="spellEnd"/>
      <w:r w:rsidR="000C7F40" w:rsidRPr="000E48E6">
        <w:t xml:space="preserve"> (2010) analyzes </w:t>
      </w:r>
      <w:r w:rsidR="000C7F40">
        <w:t xml:space="preserve">the 2008 introduction of maker-taker fees on the </w:t>
      </w:r>
      <w:r w:rsidR="000C7F40" w:rsidRPr="00BE2B93">
        <w:t xml:space="preserve">SWX Europe Exchange </w:t>
      </w:r>
      <w:r w:rsidR="000C7F40">
        <w:t xml:space="preserve">and shows that spreads were unchanged but quotation sizes widened.  </w:t>
      </w:r>
    </w:p>
    <w:p w:rsidR="00EB544D" w:rsidRDefault="00EB544D" w:rsidP="00EB544D">
      <w:pPr>
        <w:pStyle w:val="BodyText"/>
      </w:pPr>
      <w:r>
        <w:t>Two studies examine the effects of changes in maker-taker fees in U</w:t>
      </w:r>
      <w:r w:rsidR="008F3D6B">
        <w:t>.</w:t>
      </w:r>
      <w:r>
        <w:t>S</w:t>
      </w:r>
      <w:r w:rsidR="008F3D6B">
        <w:t>.</w:t>
      </w:r>
      <w:r>
        <w:t xml:space="preserve"> equity markets.  </w:t>
      </w:r>
      <w:proofErr w:type="spellStart"/>
      <w:r w:rsidRPr="00E0791B">
        <w:t>Cardella</w:t>
      </w:r>
      <w:proofErr w:type="spellEnd"/>
      <w:r w:rsidRPr="00E0791B">
        <w:t xml:space="preserve">, </w:t>
      </w:r>
      <w:proofErr w:type="spellStart"/>
      <w:r w:rsidRPr="00E0791B">
        <w:t>Hao</w:t>
      </w:r>
      <w:proofErr w:type="spellEnd"/>
      <w:r>
        <w:t xml:space="preserve"> </w:t>
      </w:r>
      <w:r w:rsidRPr="00E0791B">
        <w:t xml:space="preserve">and </w:t>
      </w:r>
      <w:proofErr w:type="spellStart"/>
      <w:r w:rsidRPr="00E0791B">
        <w:t>Kalcheva</w:t>
      </w:r>
      <w:proofErr w:type="spellEnd"/>
      <w:r>
        <w:t xml:space="preserve"> (2013)</w:t>
      </w:r>
      <w:r w:rsidRPr="00E0791B">
        <w:t xml:space="preserve"> </w:t>
      </w:r>
      <w:r>
        <w:t>show</w:t>
      </w:r>
      <w:r w:rsidR="00F36932">
        <w:t>s</w:t>
      </w:r>
      <w:r>
        <w:t xml:space="preserve"> that exchange volumes depend on relative fees, but cannot identify an effect on spreads in a study of data from 2008 to 2010.  </w:t>
      </w:r>
      <w:proofErr w:type="spellStart"/>
      <w:r w:rsidRPr="00E0791B">
        <w:t>Skjeltorp</w:t>
      </w:r>
      <w:proofErr w:type="spellEnd"/>
      <w:r w:rsidRPr="00E0791B">
        <w:t xml:space="preserve">, </w:t>
      </w:r>
      <w:proofErr w:type="spellStart"/>
      <w:r w:rsidRPr="00E0791B">
        <w:t>Sojli</w:t>
      </w:r>
      <w:proofErr w:type="spellEnd"/>
      <w:r>
        <w:t xml:space="preserve"> </w:t>
      </w:r>
      <w:r w:rsidRPr="00E0791B">
        <w:t xml:space="preserve">and </w:t>
      </w:r>
      <w:proofErr w:type="spellStart"/>
      <w:r w:rsidRPr="00E0791B">
        <w:t>Tham</w:t>
      </w:r>
      <w:proofErr w:type="spellEnd"/>
      <w:r>
        <w:t xml:space="preserve"> (2013) use</w:t>
      </w:r>
      <w:r w:rsidR="00F36932">
        <w:t>s</w:t>
      </w:r>
      <w:r>
        <w:t xml:space="preserve"> changes in exchange volumes following changes in maker</w:t>
      </w:r>
      <w:r w:rsidR="009C7160">
        <w:t>-</w:t>
      </w:r>
      <w:r>
        <w:t xml:space="preserve">taker fees to identify the value of the order flow externality.  </w:t>
      </w:r>
    </w:p>
    <w:p w:rsidR="000C7F40" w:rsidRDefault="00F36932" w:rsidP="000C7F40">
      <w:pPr>
        <w:pStyle w:val="BodyText"/>
      </w:pPr>
      <w:r>
        <w:t>T</w:t>
      </w:r>
      <w:r w:rsidR="00EB544D">
        <w:t xml:space="preserve">hree </w:t>
      </w:r>
      <w:r w:rsidR="000E48E6">
        <w:t xml:space="preserve">theoretical studies examine the impact of maker-taker pricing on exchange revenues and overall welfare.  </w:t>
      </w:r>
      <w:r w:rsidR="000C7F40" w:rsidRPr="000E48E6">
        <w:t>Foucault</w:t>
      </w:r>
      <w:r w:rsidR="000E48E6" w:rsidRPr="000E48E6">
        <w:t xml:space="preserve">, </w:t>
      </w:r>
      <w:proofErr w:type="spellStart"/>
      <w:r w:rsidR="000C7F40" w:rsidRPr="000E48E6">
        <w:t>Kadan</w:t>
      </w:r>
      <w:proofErr w:type="spellEnd"/>
      <w:r w:rsidR="000C7F40" w:rsidRPr="000E48E6">
        <w:t xml:space="preserve">, and </w:t>
      </w:r>
      <w:proofErr w:type="spellStart"/>
      <w:r w:rsidR="000C7F40" w:rsidRPr="000E48E6">
        <w:t>Kandel</w:t>
      </w:r>
      <w:proofErr w:type="spellEnd"/>
      <w:r w:rsidR="000C7F40" w:rsidRPr="000E48E6">
        <w:t xml:space="preserve"> (2013) </w:t>
      </w:r>
      <w:r w:rsidR="000E48E6" w:rsidRPr="000E48E6">
        <w:t>s</w:t>
      </w:r>
      <w:r w:rsidR="000C7F40" w:rsidRPr="00BE2B93">
        <w:t>tud</w:t>
      </w:r>
      <w:r>
        <w:t>ies</w:t>
      </w:r>
      <w:r w:rsidR="000C7F40" w:rsidRPr="00BE2B93">
        <w:t xml:space="preserve"> the </w:t>
      </w:r>
      <w:r w:rsidR="000C7F40">
        <w:t xml:space="preserve">determinants of trading rates and </w:t>
      </w:r>
      <w:r w:rsidR="000C7F40" w:rsidRPr="00BE2B93">
        <w:t>find</w:t>
      </w:r>
      <w:r w:rsidR="000C7F40">
        <w:t xml:space="preserve"> that asymmetric fees can maximize the </w:t>
      </w:r>
      <w:r w:rsidR="000E48E6">
        <w:t xml:space="preserve">trade </w:t>
      </w:r>
      <w:r w:rsidR="000C7F40">
        <w:t>rate when the tick size is a binding constraint on bid</w:t>
      </w:r>
      <w:r w:rsidR="009C7160">
        <w:t>-</w:t>
      </w:r>
      <w:r w:rsidR="000C7F40">
        <w:t xml:space="preserve">ask spreads. </w:t>
      </w:r>
      <w:r w:rsidR="000E48E6">
        <w:t xml:space="preserve"> Otherwise, their model broadly supports the </w:t>
      </w:r>
      <w:r w:rsidR="008F3D6B">
        <w:t xml:space="preserve">CMSW </w:t>
      </w:r>
      <w:r w:rsidR="000E48E6">
        <w:t>equilibrium results</w:t>
      </w:r>
      <w:r w:rsidR="000E48E6" w:rsidRPr="00F81028">
        <w:t xml:space="preserve">.  </w:t>
      </w:r>
      <w:proofErr w:type="spellStart"/>
      <w:r w:rsidR="000E48E6" w:rsidRPr="000955A1">
        <w:t>Colliard</w:t>
      </w:r>
      <w:proofErr w:type="spellEnd"/>
      <w:r w:rsidR="000E48E6">
        <w:t xml:space="preserve"> and </w:t>
      </w:r>
      <w:r w:rsidR="000E48E6" w:rsidRPr="000955A1">
        <w:t>Foucault</w:t>
      </w:r>
      <w:r w:rsidR="000E48E6">
        <w:t xml:space="preserve"> </w:t>
      </w:r>
      <w:r w:rsidR="00877B75">
        <w:t xml:space="preserve">(2012) </w:t>
      </w:r>
      <w:r w:rsidR="000E48E6">
        <w:t>examine</w:t>
      </w:r>
      <w:r>
        <w:t>s</w:t>
      </w:r>
      <w:r w:rsidR="000E48E6">
        <w:t xml:space="preserve"> a model that considers the effect of net trading fees—the difference between the acce</w:t>
      </w:r>
      <w:r w:rsidR="00C201A6">
        <w:t>ss fee and the liquidity rebate—</w:t>
      </w:r>
      <w:r w:rsidR="000E48E6">
        <w:t xml:space="preserve">on the competition among markets.  Their results are generally consistent with CMSW.  </w:t>
      </w:r>
      <w:proofErr w:type="spellStart"/>
      <w:r w:rsidR="000C7F40" w:rsidRPr="00A278E7">
        <w:t>Brolley</w:t>
      </w:r>
      <w:proofErr w:type="spellEnd"/>
      <w:r w:rsidR="00877B75">
        <w:t xml:space="preserve"> </w:t>
      </w:r>
      <w:r w:rsidR="000C7F40" w:rsidRPr="00A278E7">
        <w:t xml:space="preserve">and </w:t>
      </w:r>
      <w:proofErr w:type="spellStart"/>
      <w:r w:rsidR="000C7F40" w:rsidRPr="00A278E7">
        <w:t>Malinova</w:t>
      </w:r>
      <w:proofErr w:type="spellEnd"/>
      <w:r w:rsidR="00877B75">
        <w:t xml:space="preserve"> (2012) e</w:t>
      </w:r>
      <w:r w:rsidR="000C7F40">
        <w:t>xamine</w:t>
      </w:r>
      <w:r>
        <w:t>s</w:t>
      </w:r>
      <w:r w:rsidR="000C7F40">
        <w:t xml:space="preserve"> the effect of maker-taker fees on markets and show that distortions result when the </w:t>
      </w:r>
      <w:r w:rsidR="00877B75">
        <w:t xml:space="preserve">maker-taker </w:t>
      </w:r>
      <w:r w:rsidR="000C7F40">
        <w:t xml:space="preserve">fees </w:t>
      </w:r>
      <w:r w:rsidR="00877B75">
        <w:t xml:space="preserve">and rebates </w:t>
      </w:r>
      <w:r w:rsidR="000C7F40">
        <w:t xml:space="preserve">are not passed through to </w:t>
      </w:r>
      <w:r w:rsidR="00877B75">
        <w:t xml:space="preserve">brokerage customers.  The customers </w:t>
      </w:r>
      <w:r w:rsidR="000C7F40">
        <w:t xml:space="preserve">take liquidity more often than they otherwise would. </w:t>
      </w:r>
    </w:p>
    <w:p w:rsidR="00EB544D" w:rsidRDefault="00EB544D" w:rsidP="00EB544D">
      <w:pPr>
        <w:pStyle w:val="BodyText"/>
      </w:pPr>
      <w:r w:rsidRPr="0022583E">
        <w:t xml:space="preserve">Battalio, </w:t>
      </w:r>
      <w:proofErr w:type="spellStart"/>
      <w:r w:rsidRPr="0022583E">
        <w:t>Shkilko</w:t>
      </w:r>
      <w:proofErr w:type="spellEnd"/>
      <w:r w:rsidRPr="0022583E">
        <w:t>, and Van Ness</w:t>
      </w:r>
      <w:r>
        <w:t xml:space="preserve"> (2011) compare</w:t>
      </w:r>
      <w:r w:rsidR="00F36932">
        <w:t>s</w:t>
      </w:r>
      <w:r>
        <w:t xml:space="preserve"> maker-taker pricing schemes used by some U</w:t>
      </w:r>
      <w:r w:rsidR="00C201A6">
        <w:t>.</w:t>
      </w:r>
      <w:r>
        <w:t>S</w:t>
      </w:r>
      <w:r w:rsidR="00C201A6">
        <w:t>.</w:t>
      </w:r>
      <w:r>
        <w:t xml:space="preserve"> optio</w:t>
      </w:r>
      <w:r w:rsidR="00C201A6">
        <w:t>ns markets to attract liquidity-</w:t>
      </w:r>
      <w:r>
        <w:t xml:space="preserve">supplying orders with payment for order flow schemes used by other </w:t>
      </w:r>
      <w:r w:rsidR="009C11EC">
        <w:t xml:space="preserve">options </w:t>
      </w:r>
      <w:r>
        <w:t xml:space="preserve">markets to attract market orders.  Although both types of markets are order-driven, limit order traders provide most of the liquidity in the former markets whereas dealers provide most of the liquidity in the later markets.  </w:t>
      </w:r>
      <w:r w:rsidR="00C201A6">
        <w:t xml:space="preserve">The </w:t>
      </w:r>
      <w:r>
        <w:t>differences in market structure make the</w:t>
      </w:r>
      <w:r w:rsidR="00C201A6">
        <w:t xml:space="preserve"> results </w:t>
      </w:r>
      <w:r>
        <w:t xml:space="preserve">largely irrelevant </w:t>
      </w:r>
      <w:r w:rsidR="00C201A6">
        <w:t xml:space="preserve">to </w:t>
      </w:r>
      <w:r>
        <w:t xml:space="preserve">the issues explored in this study. </w:t>
      </w:r>
    </w:p>
    <w:p w:rsidR="00EE327D" w:rsidRDefault="006E75DE" w:rsidP="006E75DE">
      <w:pPr>
        <w:pStyle w:val="Heading1"/>
      </w:pPr>
      <w:r>
        <w:t xml:space="preserve">Empirical </w:t>
      </w:r>
      <w:r w:rsidR="000377FC">
        <w:t>Predictions</w:t>
      </w:r>
    </w:p>
    <w:p w:rsidR="0000494F" w:rsidRPr="00F81028" w:rsidRDefault="0000494F" w:rsidP="006E1050">
      <w:pPr>
        <w:pStyle w:val="BodyText"/>
      </w:pPr>
      <w:r w:rsidRPr="00F81028">
        <w:t xml:space="preserve">Simple economic principles suggest that rational traders will consider fees and rebates when making quotation and trading decisions.  As discussed above, these considerations should lead to tighter spreads and greater quoted sizes for stocks that often trade with one-tick spreads.  Although these </w:t>
      </w:r>
      <w:r w:rsidR="001732CF">
        <w:t xml:space="preserve">primary </w:t>
      </w:r>
      <w:r w:rsidRPr="00F81028">
        <w:t xml:space="preserve">effects cannot be </w:t>
      </w:r>
      <w:r w:rsidR="001732CF">
        <w:t>easily</w:t>
      </w:r>
      <w:r w:rsidR="001732CF" w:rsidRPr="00F81028">
        <w:t xml:space="preserve"> </w:t>
      </w:r>
      <w:r w:rsidRPr="00F81028">
        <w:t xml:space="preserve">identified, other effects of the fees and rebates can be.  </w:t>
      </w:r>
    </w:p>
    <w:p w:rsidR="0000494F" w:rsidRPr="00F81028" w:rsidRDefault="0000494F" w:rsidP="006E1050">
      <w:pPr>
        <w:pStyle w:val="BodyText"/>
      </w:pPr>
      <w:r w:rsidRPr="00F81028">
        <w:t>In particular, maker-taker fees and rebates should affect the prices and quantities that traders quote conditional on their estimates of value.  Accordingly, estimates of value based on quoted prices and sizes should be more informative if they account for the maker-taker fees and rebates than if they do not.</w:t>
      </w:r>
    </w:p>
    <w:p w:rsidR="0000494F" w:rsidRPr="003C6CF9" w:rsidRDefault="0000494F" w:rsidP="006E1050">
      <w:pPr>
        <w:pStyle w:val="BodyText"/>
        <w:rPr>
          <w:vanish/>
        </w:rPr>
      </w:pPr>
      <w:r w:rsidRPr="003C6CF9">
        <w:rPr>
          <w:vanish/>
        </w:rPr>
        <w:t>The empirical strategy that I use to identify the effects of maker-taker price is two-fold:  First, I show that estimates of stock values obtained from quoted prices and sizes are more informative when the estimates account for maker-taker fees and rebates.  And second, I show that this adjustment does not produce more informative estimates when applied to data generated before exchanges widely adopted maker-taker pricing.</w:t>
      </w:r>
      <w:r w:rsidR="003C6CF9">
        <w:rPr>
          <w:vanish/>
        </w:rPr>
        <w:t xml:space="preserve"> &lt;&lt;Also, high price stocks&gt;&gt;</w:t>
      </w:r>
      <w:r w:rsidRPr="003C6CF9">
        <w:rPr>
          <w:vanish/>
        </w:rPr>
        <w:t xml:space="preserve">  </w:t>
      </w:r>
    </w:p>
    <w:p w:rsidR="003C6CF9" w:rsidRPr="00F81028" w:rsidRDefault="003C6CF9" w:rsidP="003C6CF9">
      <w:pPr>
        <w:pStyle w:val="BodyText"/>
      </w:pPr>
      <w:r w:rsidRPr="00F81028">
        <w:t xml:space="preserve">The empirical strategy that I use to identify the effects of maker-taker price </w:t>
      </w:r>
      <w:r>
        <w:t xml:space="preserve">examines </w:t>
      </w:r>
      <w:r w:rsidRPr="00F81028">
        <w:t>estimates of stock values obtained from quoted prices and sizes</w:t>
      </w:r>
      <w:r>
        <w:t>.  I show that these estimates</w:t>
      </w:r>
      <w:r w:rsidRPr="00F81028">
        <w:t xml:space="preserve"> are more informative when the estimates account for maker-taker fees and rebates.  </w:t>
      </w:r>
      <w:r>
        <w:t>I also examine implications of maker-taker pricing for the distributions of these value estimates</w:t>
      </w:r>
      <w:r w:rsidR="00B815F5">
        <w:t xml:space="preserve"> and confirm that they are present in the data</w:t>
      </w:r>
      <w:r>
        <w:t xml:space="preserve">. </w:t>
      </w:r>
    </w:p>
    <w:p w:rsidR="0000494F" w:rsidRPr="00F81028" w:rsidRDefault="0000494F" w:rsidP="006E1050">
      <w:pPr>
        <w:pStyle w:val="BodyText"/>
      </w:pPr>
      <w:r w:rsidRPr="00F81028">
        <w:t xml:space="preserve">The measures of value </w:t>
      </w:r>
      <w:proofErr w:type="spellStart"/>
      <w:r w:rsidRPr="00F81028">
        <w:t>informativeness</w:t>
      </w:r>
      <w:proofErr w:type="spellEnd"/>
      <w:r w:rsidRPr="00F81028">
        <w:t xml:space="preserve"> are described below.  They are based on simple estimates of value obtained from quoted prices and sizes. </w:t>
      </w:r>
    </w:p>
    <w:p w:rsidR="00041627" w:rsidRDefault="002310E8" w:rsidP="006032E1">
      <w:pPr>
        <w:pStyle w:val="Heading2"/>
      </w:pPr>
      <w:r>
        <w:t>V</w:t>
      </w:r>
      <w:r w:rsidR="006032E1">
        <w:t xml:space="preserve">alue </w:t>
      </w:r>
      <w:r>
        <w:t>E</w:t>
      </w:r>
      <w:r w:rsidR="006032E1">
        <w:t xml:space="preserve">stimates </w:t>
      </w:r>
    </w:p>
    <w:p w:rsidR="00EA4B9A" w:rsidRPr="00F81028" w:rsidRDefault="00DE4AA0" w:rsidP="00EA4B9A">
      <w:pPr>
        <w:pStyle w:val="BodyText"/>
      </w:pPr>
      <w:r w:rsidRPr="00F81028">
        <w:t xml:space="preserve">Suppose that the market quote for a stock is $5.01 bid for 1,000 shares, with 1,000 shares offered at $5.02.  </w:t>
      </w:r>
      <w:r w:rsidR="00EA4B9A" w:rsidRPr="00F81028">
        <w:t xml:space="preserve">If forced to provide a single estimate of the unobserved full-information value of the stock (the “true value”) given this information only, most people will estimate true value at the quotation midpoint, 1.5 ($5.015).  </w:t>
      </w:r>
    </w:p>
    <w:p w:rsidR="00DE4AA0" w:rsidRPr="00F81028" w:rsidRDefault="00DE4AA0" w:rsidP="006E1050">
      <w:pPr>
        <w:pStyle w:val="BodyText"/>
      </w:pPr>
      <w:r w:rsidRPr="00F81028">
        <w:t>To simplify the discussion, I will refer to quote</w:t>
      </w:r>
      <w:r w:rsidR="00EA4B9A">
        <w:t>s</w:t>
      </w:r>
      <w:r w:rsidRPr="00F81028">
        <w:t xml:space="preserve"> as practitioners do:  They would say that the market is “1 bid for 10, 10 offered at 2” where the 1 and 2 are understood to be cents with the $5 whole number part of the price assumed, and the 10 refers to 10 lots of 100 shares each.  </w:t>
      </w:r>
      <w:r w:rsidR="00DE3CF5">
        <w:t xml:space="preserve">The further clarify the presentation, I will present market quotes within </w:t>
      </w:r>
      <w:r w:rsidR="00540CAE">
        <w:t xml:space="preserve">curly </w:t>
      </w:r>
      <w:r w:rsidR="00DE3CF5">
        <w:t xml:space="preserve">brackets as follows:  </w:t>
      </w:r>
      <w:r w:rsidR="00540CAE">
        <w:t>{</w:t>
      </w:r>
      <w:r w:rsidR="00DE3CF5" w:rsidRPr="00F81028">
        <w:t>1 bid for 10, 10 offered at 2</w:t>
      </w:r>
      <w:r w:rsidR="00540CAE">
        <w:t>}</w:t>
      </w:r>
      <w:r w:rsidR="00DE3CF5">
        <w:t xml:space="preserve"> or sometimes simply as </w:t>
      </w:r>
      <w:r w:rsidR="00540CAE">
        <w:t>{</w:t>
      </w:r>
      <w:r w:rsidR="00DE3CF5">
        <w:t>1,</w:t>
      </w:r>
      <w:r w:rsidR="00D10B22">
        <w:t xml:space="preserve"> </w:t>
      </w:r>
      <w:r w:rsidR="00DE3CF5">
        <w:t>2</w:t>
      </w:r>
      <w:r w:rsidR="00540CAE">
        <w:t>}</w:t>
      </w:r>
      <w:r w:rsidR="00DE3CF5">
        <w:t xml:space="preserve">.  </w:t>
      </w:r>
    </w:p>
    <w:p w:rsidR="00DE4AA0" w:rsidRPr="00F81028" w:rsidRDefault="00DE4AA0" w:rsidP="006E1050">
      <w:pPr>
        <w:pStyle w:val="BodyText"/>
      </w:pPr>
      <w:r w:rsidRPr="00F81028">
        <w:t xml:space="preserve">Now suppose that the market is </w:t>
      </w:r>
      <w:r w:rsidR="00540CAE">
        <w:t>{</w:t>
      </w:r>
      <w:r w:rsidRPr="00F81028">
        <w:t>1 bid for 28, 12 offered at 2</w:t>
      </w:r>
      <w:r w:rsidR="00540CAE">
        <w:t>}</w:t>
      </w:r>
      <w:r w:rsidRPr="00F81028">
        <w:t>.  Based only on this information, sophisticated market observers will note that the relative paucity of selling interest at the ask (2</w:t>
      </w:r>
      <w:r w:rsidRPr="00F81028">
        <w:rPr>
          <w:rFonts w:cstheme="minorHAnsi"/>
        </w:rPr>
        <w:t>¢</w:t>
      </w:r>
      <w:r w:rsidRPr="00F81028">
        <w:t>) in comparison to the much larger buying interest at the bid (1</w:t>
      </w:r>
      <w:r w:rsidRPr="00F81028">
        <w:rPr>
          <w:rFonts w:cstheme="minorHAnsi"/>
        </w:rPr>
        <w:t>¢</w:t>
      </w:r>
      <w:r w:rsidRPr="00F81028">
        <w:t>) suggests that overall, market participants think that the opportunity to buy at 1</w:t>
      </w:r>
      <w:r w:rsidRPr="00F81028">
        <w:rPr>
          <w:rFonts w:cstheme="minorHAnsi"/>
        </w:rPr>
        <w:t>¢</w:t>
      </w:r>
      <w:r w:rsidRPr="00F81028">
        <w:t xml:space="preserve"> is more attractive than the opportunity to sell at 2</w:t>
      </w:r>
      <w:r w:rsidRPr="00F81028">
        <w:rPr>
          <w:rFonts w:cstheme="minorHAnsi"/>
        </w:rPr>
        <w:t>¢</w:t>
      </w:r>
      <w:r w:rsidRPr="00F81028">
        <w:t xml:space="preserve">.  Such a conclusion is consistent with the inference that true value is closer to </w:t>
      </w:r>
      <w:proofErr w:type="gramStart"/>
      <w:r w:rsidRPr="00F81028">
        <w:t>the ask</w:t>
      </w:r>
      <w:proofErr w:type="gramEnd"/>
      <w:r w:rsidRPr="00F81028">
        <w:t xml:space="preserve"> than to the bid.  </w:t>
      </w:r>
    </w:p>
    <w:p w:rsidR="00DE4AA0" w:rsidRDefault="00DE4AA0" w:rsidP="006E1050">
      <w:pPr>
        <w:pStyle w:val="BodyText"/>
      </w:pPr>
      <w:r w:rsidRPr="00F81028">
        <w:t>If we assume that 1) demand and supply schedules are linear in the difference between potential trade prices and unobserved true values, 2) the absolute values of the slopes of these schedules are equal, and 3) supply and demand are both equal to zero when price is equal to unobserved true value, we can estimate the unobserved true value from the quoted prices and sizes.  In particular, we simply express the slopes of both schedules as a function of the market quote and the true value</w:t>
      </w:r>
      <w:proofErr w:type="gramStart"/>
      <w:r w:rsidRPr="00F81028">
        <w:t xml:space="preserve">, </w:t>
      </w:r>
      <w:proofErr w:type="gramEnd"/>
      <m:oMath>
        <m:r>
          <w:rPr>
            <w:rFonts w:ascii="Cambria Math" w:hAnsi="Cambria Math"/>
          </w:rPr>
          <m:t>V</m:t>
        </m:r>
      </m:oMath>
      <w:r w:rsidR="00C45A49">
        <w:rPr>
          <w:iCs/>
        </w:rPr>
        <w:t>,</w:t>
      </w:r>
      <w:r w:rsidRPr="00F81028">
        <w:t xml:space="preserve"> and solve for the true value: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84"/>
        <w:gridCol w:w="576"/>
      </w:tblGrid>
      <w:tr w:rsidR="00CC0BF5" w:rsidRPr="00CC0BF5" w:rsidTr="00FB685D">
        <w:tc>
          <w:tcPr>
            <w:tcW w:w="8784" w:type="dxa"/>
            <w:vAlign w:val="center"/>
          </w:tcPr>
          <w:p w:rsidR="00CC0BF5" w:rsidRPr="00046669" w:rsidRDefault="00C67A10" w:rsidP="00CC0BF5">
            <w:pPr>
              <w:pStyle w:val="BodyText"/>
              <w:keepNext/>
              <w:jc w:val="center"/>
              <w:rPr>
                <w:rFonts w:ascii="Cambria Math" w:hAnsi="Cambria Math"/>
                <w:i/>
              </w:rPr>
            </w:pPr>
            <m:oMathPara>
              <m:oMath>
                <m:f>
                  <m:fPr>
                    <m:ctrlPr>
                      <w:rPr>
                        <w:rFonts w:ascii="Cambria Math" w:hAnsi="Cambria Math"/>
                        <w:i/>
                      </w:rPr>
                    </m:ctrlPr>
                  </m:fPr>
                  <m:num>
                    <m:sSub>
                      <m:sSubPr>
                        <m:ctrlPr>
                          <w:rPr>
                            <w:rFonts w:ascii="Cambria Math" w:hAnsi="Cambria Math"/>
                            <w:i/>
                          </w:rPr>
                        </m:ctrlPr>
                      </m:sSubPr>
                      <m:e>
                        <m:r>
                          <w:rPr>
                            <w:rFonts w:ascii="Cambria Math" w:hAnsi="Cambria Math"/>
                          </w:rPr>
                          <m:t>Size</m:t>
                        </m:r>
                      </m:e>
                      <m:sub>
                        <m:r>
                          <w:rPr>
                            <w:rFonts w:ascii="Cambria Math" w:hAnsi="Cambria Math"/>
                          </w:rPr>
                          <m:t>Ask</m:t>
                        </m:r>
                      </m:sub>
                    </m:sSub>
                  </m:num>
                  <m:den>
                    <m:r>
                      <w:rPr>
                        <w:rFonts w:ascii="Cambria Math" w:hAnsi="Cambria Math"/>
                      </w:rPr>
                      <m:t>Ask-V</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Size</m:t>
                        </m:r>
                      </m:e>
                      <m:sub>
                        <m:r>
                          <w:rPr>
                            <w:rFonts w:ascii="Cambria Math" w:hAnsi="Cambria Math"/>
                          </w:rPr>
                          <m:t>Bid</m:t>
                        </m:r>
                      </m:sub>
                    </m:sSub>
                  </m:num>
                  <m:den>
                    <m:r>
                      <w:rPr>
                        <w:rFonts w:ascii="Cambria Math" w:hAnsi="Cambria Math"/>
                      </w:rPr>
                      <m:t>V-Bid</m:t>
                    </m:r>
                  </m:den>
                </m:f>
              </m:oMath>
            </m:oMathPara>
          </w:p>
        </w:tc>
        <w:tc>
          <w:tcPr>
            <w:tcW w:w="576" w:type="dxa"/>
            <w:vAlign w:val="center"/>
          </w:tcPr>
          <w:p w:rsidR="00CC0BF5" w:rsidRPr="00CC0BF5" w:rsidRDefault="00CC0BF5" w:rsidP="00FB685D">
            <w:pPr>
              <w:pStyle w:val="BodyText"/>
              <w:keepNext/>
              <w:jc w:val="right"/>
              <w:rPr>
                <w:rFonts w:ascii="Cambria Math" w:hAnsi="Cambria Math"/>
              </w:rPr>
            </w:pPr>
            <w:r w:rsidRPr="00CC0BF5">
              <w:rPr>
                <w:rFonts w:ascii="Cambria Math" w:hAnsi="Cambria Math"/>
              </w:rPr>
              <w:t>(</w:t>
            </w:r>
            <w:r w:rsidRPr="00CC0BF5">
              <w:rPr>
                <w:rFonts w:ascii="Cambria Math" w:hAnsi="Cambria Math"/>
              </w:rPr>
              <w:fldChar w:fldCharType="begin"/>
            </w:r>
            <w:r w:rsidRPr="00CC0BF5">
              <w:rPr>
                <w:rFonts w:ascii="Cambria Math" w:hAnsi="Cambria Math"/>
              </w:rPr>
              <w:instrText xml:space="preserve"> SEQ Equations\* Arabic \* MERGEFORMAT </w:instrText>
            </w:r>
            <w:r w:rsidRPr="00CC0BF5">
              <w:rPr>
                <w:rFonts w:ascii="Cambria Math" w:hAnsi="Cambria Math"/>
              </w:rPr>
              <w:fldChar w:fldCharType="separate"/>
            </w:r>
            <w:r w:rsidR="00C67A10">
              <w:rPr>
                <w:rFonts w:ascii="Cambria Math" w:hAnsi="Cambria Math"/>
                <w:noProof/>
              </w:rPr>
              <w:t>1</w:t>
            </w:r>
            <w:r w:rsidRPr="00CC0BF5">
              <w:rPr>
                <w:rFonts w:ascii="Cambria Math" w:hAnsi="Cambria Math"/>
              </w:rPr>
              <w:fldChar w:fldCharType="end"/>
            </w:r>
            <w:r w:rsidRPr="00CC0BF5">
              <w:rPr>
                <w:rFonts w:ascii="Cambria Math" w:hAnsi="Cambria Math"/>
              </w:rPr>
              <w:t>)</w:t>
            </w:r>
          </w:p>
        </w:tc>
      </w:tr>
    </w:tbl>
    <w:p w:rsidR="00DE4AA0" w:rsidRDefault="00DE4AA0" w:rsidP="00AE0A57">
      <w:pPr>
        <w:pStyle w:val="BodyText"/>
      </w:pPr>
      <w:r w:rsidRPr="00F81028">
        <w:t xml:space="preserve">The resulting </w:t>
      </w:r>
      <w:proofErr w:type="gramStart"/>
      <w:r w:rsidRPr="00F81028">
        <w:t xml:space="preserve">estimate is the size-weighted average of the bid and </w:t>
      </w:r>
      <w:r w:rsidR="00725735">
        <w:t>ask</w:t>
      </w:r>
      <w:proofErr w:type="gramEnd"/>
      <w:r w:rsidR="00725735">
        <w:t xml:space="preserve"> </w:t>
      </w:r>
      <w:r w:rsidRPr="00F81028">
        <w:t xml:space="preserve">prices where the bid is weighted by the ask size and the ask is weighted by the bid size: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84"/>
        <w:gridCol w:w="576"/>
      </w:tblGrid>
      <w:tr w:rsidR="00FB685D" w:rsidRPr="00CC0BF5" w:rsidTr="00544214">
        <w:tc>
          <w:tcPr>
            <w:tcW w:w="8784" w:type="dxa"/>
            <w:vAlign w:val="center"/>
          </w:tcPr>
          <w:p w:rsidR="00FB685D" w:rsidRPr="00046669" w:rsidRDefault="00C67A10" w:rsidP="00544214">
            <w:pPr>
              <w:pStyle w:val="BodyText"/>
              <w:keepNext/>
              <w:jc w:val="center"/>
              <w:rPr>
                <w:rFonts w:ascii="Cambria Math" w:hAnsi="Cambria Math"/>
                <w:i/>
              </w:rPr>
            </w:pPr>
            <m:oMathPara>
              <m:oMath>
                <m:acc>
                  <m:accPr>
                    <m:ctrlPr>
                      <w:rPr>
                        <w:rFonts w:ascii="Cambria Math" w:hAnsi="Cambria Math"/>
                        <w:i/>
                      </w:rPr>
                    </m:ctrlPr>
                  </m:accPr>
                  <m:e>
                    <m:r>
                      <w:rPr>
                        <w:rFonts w:ascii="Cambria Math" w:hAnsi="Cambria Math"/>
                      </w:rPr>
                      <m:t>V</m:t>
                    </m:r>
                  </m:e>
                </m:acc>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Size</m:t>
                        </m:r>
                      </m:e>
                      <m:sub>
                        <m:r>
                          <w:rPr>
                            <w:rFonts w:ascii="Cambria Math" w:hAnsi="Cambria Math"/>
                          </w:rPr>
                          <m:t>Ask</m:t>
                        </m:r>
                      </m:sub>
                    </m:sSub>
                  </m:num>
                  <m:den>
                    <m:sSub>
                      <m:sSubPr>
                        <m:ctrlPr>
                          <w:rPr>
                            <w:rFonts w:ascii="Cambria Math" w:hAnsi="Cambria Math"/>
                            <w:i/>
                          </w:rPr>
                        </m:ctrlPr>
                      </m:sSubPr>
                      <m:e>
                        <m:r>
                          <w:rPr>
                            <w:rFonts w:ascii="Cambria Math" w:hAnsi="Cambria Math"/>
                          </w:rPr>
                          <m:t>Si</m:t>
                        </m:r>
                        <m:r>
                          <w:rPr>
                            <w:rFonts w:ascii="Cambria Math" w:hAnsi="Cambria Math"/>
                          </w:rPr>
                          <m:t>ze</m:t>
                        </m:r>
                      </m:e>
                      <m:sub>
                        <m:r>
                          <w:rPr>
                            <w:rFonts w:ascii="Cambria Math" w:hAnsi="Cambria Math"/>
                          </w:rPr>
                          <m:t>Ask</m:t>
                        </m:r>
                      </m:sub>
                    </m:sSub>
                    <m:r>
                      <w:rPr>
                        <w:rFonts w:ascii="Cambria Math" w:hAnsi="Cambria Math"/>
                      </w:rPr>
                      <m:t>+</m:t>
                    </m:r>
                    <m:sSub>
                      <m:sSubPr>
                        <m:ctrlPr>
                          <w:rPr>
                            <w:rFonts w:ascii="Cambria Math" w:hAnsi="Cambria Math"/>
                            <w:i/>
                          </w:rPr>
                        </m:ctrlPr>
                      </m:sSubPr>
                      <m:e>
                        <m:r>
                          <w:rPr>
                            <w:rFonts w:ascii="Cambria Math" w:hAnsi="Cambria Math"/>
                          </w:rPr>
                          <m:t>Size</m:t>
                        </m:r>
                      </m:e>
                      <m:sub>
                        <m:r>
                          <w:rPr>
                            <w:rFonts w:ascii="Cambria Math" w:hAnsi="Cambria Math"/>
                          </w:rPr>
                          <m:t>Bid</m:t>
                        </m:r>
                      </m:sub>
                    </m:sSub>
                  </m:den>
                </m:f>
                <m:r>
                  <w:rPr>
                    <w:rFonts w:ascii="Cambria Math" w:hAnsi="Cambria Math"/>
                  </w:rPr>
                  <m:t>Bid+</m:t>
                </m:r>
                <m:f>
                  <m:fPr>
                    <m:ctrlPr>
                      <w:rPr>
                        <w:rFonts w:ascii="Cambria Math" w:hAnsi="Cambria Math"/>
                        <w:i/>
                      </w:rPr>
                    </m:ctrlPr>
                  </m:fPr>
                  <m:num>
                    <m:sSub>
                      <m:sSubPr>
                        <m:ctrlPr>
                          <w:rPr>
                            <w:rFonts w:ascii="Cambria Math" w:hAnsi="Cambria Math"/>
                            <w:i/>
                          </w:rPr>
                        </m:ctrlPr>
                      </m:sSubPr>
                      <m:e>
                        <m:r>
                          <w:rPr>
                            <w:rFonts w:ascii="Cambria Math" w:hAnsi="Cambria Math"/>
                          </w:rPr>
                          <m:t>Size</m:t>
                        </m:r>
                      </m:e>
                      <m:sub>
                        <m:r>
                          <w:rPr>
                            <w:rFonts w:ascii="Cambria Math" w:hAnsi="Cambria Math"/>
                          </w:rPr>
                          <m:t>Bid</m:t>
                        </m:r>
                      </m:sub>
                    </m:sSub>
                  </m:num>
                  <m:den>
                    <m:sSub>
                      <m:sSubPr>
                        <m:ctrlPr>
                          <w:rPr>
                            <w:rFonts w:ascii="Cambria Math" w:hAnsi="Cambria Math"/>
                            <w:i/>
                          </w:rPr>
                        </m:ctrlPr>
                      </m:sSubPr>
                      <m:e>
                        <m:r>
                          <w:rPr>
                            <w:rFonts w:ascii="Cambria Math" w:hAnsi="Cambria Math"/>
                          </w:rPr>
                          <m:t>Size</m:t>
                        </m:r>
                      </m:e>
                      <m:sub>
                        <m:r>
                          <w:rPr>
                            <w:rFonts w:ascii="Cambria Math" w:hAnsi="Cambria Math"/>
                          </w:rPr>
                          <m:t>Ask</m:t>
                        </m:r>
                      </m:sub>
                    </m:sSub>
                    <m:r>
                      <w:rPr>
                        <w:rFonts w:ascii="Cambria Math" w:hAnsi="Cambria Math"/>
                      </w:rPr>
                      <m:t>+</m:t>
                    </m:r>
                    <m:sSub>
                      <m:sSubPr>
                        <m:ctrlPr>
                          <w:rPr>
                            <w:rFonts w:ascii="Cambria Math" w:hAnsi="Cambria Math"/>
                            <w:i/>
                          </w:rPr>
                        </m:ctrlPr>
                      </m:sSubPr>
                      <m:e>
                        <m:r>
                          <w:rPr>
                            <w:rFonts w:ascii="Cambria Math" w:hAnsi="Cambria Math"/>
                          </w:rPr>
                          <m:t>Size</m:t>
                        </m:r>
                      </m:e>
                      <m:sub>
                        <m:r>
                          <w:rPr>
                            <w:rFonts w:ascii="Cambria Math" w:hAnsi="Cambria Math"/>
                          </w:rPr>
                          <m:t>Bid</m:t>
                        </m:r>
                      </m:sub>
                    </m:sSub>
                  </m:den>
                </m:f>
                <m:r>
                  <w:rPr>
                    <w:rFonts w:ascii="Cambria Math" w:hAnsi="Cambria Math"/>
                  </w:rPr>
                  <m:t>Ask</m:t>
                </m:r>
              </m:oMath>
            </m:oMathPara>
          </w:p>
        </w:tc>
        <w:tc>
          <w:tcPr>
            <w:tcW w:w="576" w:type="dxa"/>
            <w:vAlign w:val="center"/>
          </w:tcPr>
          <w:p w:rsidR="00FB685D" w:rsidRPr="00CC0BF5" w:rsidRDefault="00FB685D" w:rsidP="00544214">
            <w:pPr>
              <w:pStyle w:val="BodyText"/>
              <w:keepNext/>
              <w:jc w:val="right"/>
              <w:rPr>
                <w:rFonts w:ascii="Cambria Math" w:hAnsi="Cambria Math"/>
              </w:rPr>
            </w:pPr>
            <w:r w:rsidRPr="00CC0BF5">
              <w:rPr>
                <w:rFonts w:ascii="Cambria Math" w:hAnsi="Cambria Math"/>
              </w:rPr>
              <w:t>(</w:t>
            </w:r>
            <w:r w:rsidRPr="00CC0BF5">
              <w:rPr>
                <w:rFonts w:ascii="Cambria Math" w:hAnsi="Cambria Math"/>
              </w:rPr>
              <w:fldChar w:fldCharType="begin"/>
            </w:r>
            <w:r w:rsidRPr="00CC0BF5">
              <w:rPr>
                <w:rFonts w:ascii="Cambria Math" w:hAnsi="Cambria Math"/>
              </w:rPr>
              <w:instrText xml:space="preserve"> SEQ Equations\* Arabic \* MERGEFORMAT </w:instrText>
            </w:r>
            <w:r w:rsidRPr="00CC0BF5">
              <w:rPr>
                <w:rFonts w:ascii="Cambria Math" w:hAnsi="Cambria Math"/>
              </w:rPr>
              <w:fldChar w:fldCharType="separate"/>
            </w:r>
            <w:r w:rsidR="00C67A10">
              <w:rPr>
                <w:rFonts w:ascii="Cambria Math" w:hAnsi="Cambria Math"/>
                <w:noProof/>
              </w:rPr>
              <w:t>2</w:t>
            </w:r>
            <w:r w:rsidRPr="00CC0BF5">
              <w:rPr>
                <w:rFonts w:ascii="Cambria Math" w:hAnsi="Cambria Math"/>
              </w:rPr>
              <w:fldChar w:fldCharType="end"/>
            </w:r>
            <w:r w:rsidRPr="00CC0BF5">
              <w:rPr>
                <w:rFonts w:ascii="Cambria Math" w:hAnsi="Cambria Math"/>
              </w:rPr>
              <w:t>)</w:t>
            </w:r>
          </w:p>
        </w:tc>
      </w:tr>
    </w:tbl>
    <w:p w:rsidR="00DE4AA0" w:rsidRDefault="00DE4AA0" w:rsidP="00AE0A57">
      <w:pPr>
        <w:pStyle w:val="BodyText"/>
      </w:pPr>
      <w:r w:rsidRPr="00F81028">
        <w:t xml:space="preserve">It can also be expressed as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84"/>
        <w:gridCol w:w="576"/>
      </w:tblGrid>
      <w:tr w:rsidR="00FB685D" w:rsidRPr="00CC0BF5" w:rsidTr="00544214">
        <w:tc>
          <w:tcPr>
            <w:tcW w:w="8784" w:type="dxa"/>
            <w:vAlign w:val="center"/>
          </w:tcPr>
          <w:p w:rsidR="00FB685D" w:rsidRPr="00046669" w:rsidRDefault="00C67A10" w:rsidP="00FB685D">
            <w:pPr>
              <w:pStyle w:val="BodyText"/>
              <w:rPr>
                <w:i/>
              </w:rPr>
            </w:pPr>
            <m:oMathPara>
              <m:oMath>
                <m:acc>
                  <m:accPr>
                    <m:ctrlPr>
                      <w:rPr>
                        <w:rFonts w:ascii="Cambria Math" w:hAnsi="Cambria Math"/>
                        <w:i/>
                      </w:rPr>
                    </m:ctrlPr>
                  </m:accPr>
                  <m:e>
                    <m:r>
                      <w:rPr>
                        <w:rFonts w:ascii="Cambria Math" w:hAnsi="Cambria Math"/>
                      </w:rPr>
                      <m:t>V</m:t>
                    </m:r>
                  </m:e>
                </m:acc>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1+R</m:t>
                    </m:r>
                  </m:den>
                </m:f>
                <m:r>
                  <w:rPr>
                    <w:rFonts w:ascii="Cambria Math" w:hAnsi="Cambria Math"/>
                  </w:rPr>
                  <m:t>Bid+</m:t>
                </m:r>
                <m:f>
                  <m:fPr>
                    <m:ctrlPr>
                      <w:rPr>
                        <w:rFonts w:ascii="Cambria Math" w:hAnsi="Cambria Math"/>
                        <w:i/>
                      </w:rPr>
                    </m:ctrlPr>
                  </m:fPr>
                  <m:num>
                    <m:r>
                      <w:rPr>
                        <w:rFonts w:ascii="Cambria Math" w:hAnsi="Cambria Math"/>
                      </w:rPr>
                      <m:t>R</m:t>
                    </m:r>
                  </m:num>
                  <m:den>
                    <m:r>
                      <w:rPr>
                        <w:rFonts w:ascii="Cambria Math" w:hAnsi="Cambria Math"/>
                      </w:rPr>
                      <m:t>1+R</m:t>
                    </m:r>
                  </m:den>
                </m:f>
                <m:r>
                  <w:rPr>
                    <w:rFonts w:ascii="Cambria Math" w:hAnsi="Cambria Math"/>
                  </w:rPr>
                  <m:t>Ask</m:t>
                </m:r>
              </m:oMath>
            </m:oMathPara>
          </w:p>
        </w:tc>
        <w:tc>
          <w:tcPr>
            <w:tcW w:w="576" w:type="dxa"/>
            <w:vAlign w:val="center"/>
          </w:tcPr>
          <w:p w:rsidR="00FB685D" w:rsidRPr="00CC0BF5" w:rsidRDefault="00FB685D" w:rsidP="00544214">
            <w:pPr>
              <w:pStyle w:val="BodyText"/>
              <w:keepNext/>
              <w:jc w:val="right"/>
              <w:rPr>
                <w:rFonts w:ascii="Cambria Math" w:hAnsi="Cambria Math"/>
              </w:rPr>
            </w:pPr>
            <w:r w:rsidRPr="00CC0BF5">
              <w:rPr>
                <w:rFonts w:ascii="Cambria Math" w:hAnsi="Cambria Math"/>
              </w:rPr>
              <w:t>(</w:t>
            </w:r>
            <w:r w:rsidRPr="00CC0BF5">
              <w:rPr>
                <w:rFonts w:ascii="Cambria Math" w:hAnsi="Cambria Math"/>
              </w:rPr>
              <w:fldChar w:fldCharType="begin"/>
            </w:r>
            <w:r w:rsidRPr="00CC0BF5">
              <w:rPr>
                <w:rFonts w:ascii="Cambria Math" w:hAnsi="Cambria Math"/>
              </w:rPr>
              <w:instrText xml:space="preserve"> SEQ Equations\* Arabic \* MERGEFORMAT </w:instrText>
            </w:r>
            <w:r w:rsidRPr="00CC0BF5">
              <w:rPr>
                <w:rFonts w:ascii="Cambria Math" w:hAnsi="Cambria Math"/>
              </w:rPr>
              <w:fldChar w:fldCharType="separate"/>
            </w:r>
            <w:r w:rsidR="00C67A10">
              <w:rPr>
                <w:rFonts w:ascii="Cambria Math" w:hAnsi="Cambria Math"/>
                <w:noProof/>
              </w:rPr>
              <w:t>3</w:t>
            </w:r>
            <w:r w:rsidRPr="00CC0BF5">
              <w:rPr>
                <w:rFonts w:ascii="Cambria Math" w:hAnsi="Cambria Math"/>
              </w:rPr>
              <w:fldChar w:fldCharType="end"/>
            </w:r>
            <w:r w:rsidRPr="00CC0BF5">
              <w:rPr>
                <w:rFonts w:ascii="Cambria Math" w:hAnsi="Cambria Math"/>
              </w:rPr>
              <w:t>)</w:t>
            </w:r>
          </w:p>
        </w:tc>
      </w:tr>
    </w:tbl>
    <w:p w:rsidR="00DE4AA0" w:rsidRPr="00F81028" w:rsidRDefault="00DE4AA0" w:rsidP="00AE0A57">
      <w:pPr>
        <w:pStyle w:val="BodyText"/>
      </w:pPr>
      <w:proofErr w:type="gramStart"/>
      <w:r w:rsidRPr="00F81028">
        <w:t>where</w:t>
      </w:r>
      <w:proofErr w:type="gramEnd"/>
      <w:r w:rsidRPr="00F81028">
        <w:t xml:space="preserve"> </w:t>
      </w:r>
    </w:p>
    <w:p w:rsidR="00DE4AA0" w:rsidRDefault="00DE4AA0" w:rsidP="00AE0A57">
      <w:pPr>
        <w:pStyle w:val="BodyText"/>
      </w:pPr>
      <m:oMath>
        <m:r>
          <w:rPr>
            <w:rFonts w:ascii="Cambria Math" w:hAnsi="Cambria Math"/>
          </w:rPr>
          <m:t>R</m:t>
        </m:r>
        <m:r>
          <m:rPr>
            <m:sty m:val="p"/>
          </m:rPr>
          <w:rPr>
            <w:rFonts w:ascii="Cambria Math" w:hAnsi="Cambria Math"/>
          </w:rPr>
          <m:t>=</m:t>
        </m:r>
        <m:f>
          <m:fPr>
            <m:ctrlPr>
              <w:rPr>
                <w:rFonts w:ascii="Cambria Math" w:hAnsi="Cambria Math"/>
              </w:rPr>
            </m:ctrlPr>
          </m:fPr>
          <m:num>
            <m:r>
              <w:rPr>
                <w:rFonts w:ascii="Cambria Math" w:hAnsi="Cambria Math"/>
              </w:rPr>
              <m:t>Siz</m:t>
            </m:r>
            <m:sSub>
              <m:sSubPr>
                <m:ctrlPr>
                  <w:rPr>
                    <w:rFonts w:ascii="Cambria Math" w:hAnsi="Cambria Math"/>
                  </w:rPr>
                </m:ctrlPr>
              </m:sSubPr>
              <m:e>
                <m:r>
                  <w:rPr>
                    <w:rFonts w:ascii="Cambria Math" w:hAnsi="Cambria Math"/>
                  </w:rPr>
                  <m:t>e</m:t>
                </m:r>
              </m:e>
              <m:sub>
                <m:r>
                  <w:rPr>
                    <w:rFonts w:ascii="Cambria Math" w:hAnsi="Cambria Math"/>
                  </w:rPr>
                  <m:t>Bid</m:t>
                </m:r>
              </m:sub>
            </m:sSub>
          </m:num>
          <m:den>
            <m:r>
              <w:rPr>
                <w:rFonts w:ascii="Cambria Math" w:hAnsi="Cambria Math"/>
              </w:rPr>
              <m:t>Siz</m:t>
            </m:r>
            <m:sSub>
              <m:sSubPr>
                <m:ctrlPr>
                  <w:rPr>
                    <w:rFonts w:ascii="Cambria Math" w:hAnsi="Cambria Math"/>
                  </w:rPr>
                </m:ctrlPr>
              </m:sSubPr>
              <m:e>
                <m:r>
                  <w:rPr>
                    <w:rFonts w:ascii="Cambria Math" w:hAnsi="Cambria Math"/>
                  </w:rPr>
                  <m:t>e</m:t>
                </m:r>
              </m:e>
              <m:sub>
                <m:r>
                  <w:rPr>
                    <w:rFonts w:ascii="Cambria Math" w:hAnsi="Cambria Math"/>
                  </w:rPr>
                  <m:t>Ask</m:t>
                </m:r>
              </m:sub>
            </m:sSub>
          </m:den>
        </m:f>
      </m:oMath>
      <w:r w:rsidRPr="00F81028">
        <w:t xml:space="preserve"> </w:t>
      </w:r>
      <w:proofErr w:type="gramStart"/>
      <w:r w:rsidRPr="00F81028">
        <w:t>is</w:t>
      </w:r>
      <w:proofErr w:type="gramEnd"/>
      <w:r w:rsidRPr="00F81028">
        <w:t xml:space="preserve"> the ratio of the two </w:t>
      </w:r>
      <w:r w:rsidR="003214A9">
        <w:t xml:space="preserve">quotation </w:t>
      </w:r>
      <w:r w:rsidRPr="00F81028">
        <w:t>sizes.  The estimate thus depends only on the ratio of the two sizes and not their absolute level</w:t>
      </w:r>
      <w:r w:rsidR="00950213">
        <w:t>s</w:t>
      </w:r>
      <w:r w:rsidRPr="00F81028">
        <w:t xml:space="preserve">.  Is the spread between the bid and ask </w:t>
      </w:r>
      <w:proofErr w:type="gramStart"/>
      <w:r w:rsidRPr="00F81028">
        <w:t xml:space="preserve">is </w:t>
      </w:r>
      <w:proofErr w:type="gramEnd"/>
      <m:oMath>
        <m:r>
          <w:rPr>
            <w:rFonts w:ascii="Cambria Math" w:hAnsi="Cambria Math"/>
          </w:rPr>
          <m:t>S</m:t>
        </m:r>
        <m:r>
          <m:rPr>
            <m:sty m:val="p"/>
          </m:rPr>
          <w:rPr>
            <w:rFonts w:ascii="Cambria Math" w:hAnsi="Cambria Math"/>
          </w:rPr>
          <m:t>=</m:t>
        </m:r>
        <m:r>
          <w:rPr>
            <w:rFonts w:ascii="Cambria Math" w:hAnsi="Cambria Math"/>
          </w:rPr>
          <m:t>Ask</m:t>
        </m:r>
        <m:r>
          <m:rPr>
            <m:sty m:val="p"/>
          </m:rPr>
          <w:rPr>
            <w:rFonts w:ascii="Cambria Math" w:hAnsi="Cambria Math"/>
          </w:rPr>
          <m:t>-</m:t>
        </m:r>
        <m:r>
          <w:rPr>
            <w:rFonts w:ascii="Cambria Math" w:hAnsi="Cambria Math"/>
          </w:rPr>
          <m:t>Bid</m:t>
        </m:r>
      </m:oMath>
      <w:r w:rsidRPr="00F81028">
        <w:t xml:space="preserve">, the estimate can be expressed as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84"/>
        <w:gridCol w:w="576"/>
      </w:tblGrid>
      <w:tr w:rsidR="00FB685D" w:rsidRPr="00CC0BF5" w:rsidTr="00544214">
        <w:tc>
          <w:tcPr>
            <w:tcW w:w="8784" w:type="dxa"/>
            <w:vAlign w:val="center"/>
          </w:tcPr>
          <w:p w:rsidR="00FB685D" w:rsidRPr="00CC0BF5" w:rsidRDefault="00C67A10" w:rsidP="003B291D">
            <w:pPr>
              <w:pStyle w:val="BodyText"/>
              <w:keepNext/>
              <w:jc w:val="center"/>
              <w:rPr>
                <w:rFonts w:ascii="Cambria Math" w:hAnsi="Cambria Math"/>
              </w:rPr>
            </w:pPr>
            <m:oMathPara>
              <m:oMath>
                <m:acc>
                  <m:accPr>
                    <m:ctrlPr>
                      <w:rPr>
                        <w:rFonts w:ascii="Cambria Math" w:hAnsi="Cambria Math"/>
                      </w:rPr>
                    </m:ctrlPr>
                  </m:accPr>
                  <m:e>
                    <m:r>
                      <w:rPr>
                        <w:rFonts w:ascii="Cambria Math" w:hAnsi="Cambria Math"/>
                      </w:rPr>
                      <m:t>V</m:t>
                    </m:r>
                  </m:e>
                </m:acc>
                <m:r>
                  <m:rPr>
                    <m:sty m:val="p"/>
                  </m:rPr>
                  <w:rPr>
                    <w:rFonts w:ascii="Cambria Math" w:hAnsi="Cambria Math"/>
                  </w:rPr>
                  <m:t>=</m:t>
                </m:r>
                <m:r>
                  <w:rPr>
                    <w:rFonts w:ascii="Cambria Math" w:hAnsi="Cambria Math"/>
                  </w:rPr>
                  <m:t>M</m:t>
                </m:r>
                <m:r>
                  <m:rPr>
                    <m:sty m:val="p"/>
                  </m:rPr>
                  <w:rPr>
                    <w:rFonts w:ascii="Cambria Math" w:hAnsi="Cambria Math"/>
                  </w:rPr>
                  <m:t>+</m:t>
                </m:r>
                <m:f>
                  <m:fPr>
                    <m:ctrlPr>
                      <w:rPr>
                        <w:rFonts w:ascii="Cambria Math" w:hAnsi="Cambria Math"/>
                      </w:rPr>
                    </m:ctrlPr>
                  </m:fPr>
                  <m:num>
                    <m:r>
                      <w:rPr>
                        <w:rFonts w:ascii="Cambria Math" w:hAnsi="Cambria Math"/>
                      </w:rPr>
                      <m:t>S</m:t>
                    </m:r>
                  </m:num>
                  <m:den>
                    <m:r>
                      <m:rPr>
                        <m:sty m:val="p"/>
                      </m:rPr>
                      <w:rPr>
                        <w:rFonts w:ascii="Cambria Math" w:hAnsi="Cambria Math"/>
                      </w:rPr>
                      <m:t>2</m:t>
                    </m:r>
                  </m:den>
                </m:f>
                <m:d>
                  <m:dPr>
                    <m:ctrlPr>
                      <w:rPr>
                        <w:rFonts w:ascii="Cambria Math" w:hAnsi="Cambria Math"/>
                      </w:rPr>
                    </m:ctrlPr>
                  </m:dPr>
                  <m:e>
                    <m:f>
                      <m:fPr>
                        <m:ctrlPr>
                          <w:rPr>
                            <w:rFonts w:ascii="Cambria Math" w:hAnsi="Cambria Math"/>
                          </w:rPr>
                        </m:ctrlPr>
                      </m:fPr>
                      <m:num>
                        <m:r>
                          <w:rPr>
                            <w:rFonts w:ascii="Cambria Math" w:hAnsi="Cambria Math"/>
                          </w:rPr>
                          <m:t>R</m:t>
                        </m:r>
                        <m:r>
                          <m:rPr>
                            <m:sty m:val="p"/>
                          </m:rPr>
                          <w:rPr>
                            <w:rFonts w:ascii="Cambria Math" w:hAnsi="Cambria Math"/>
                          </w:rPr>
                          <m:t>-1</m:t>
                        </m:r>
                      </m:num>
                      <m:den>
                        <m:r>
                          <w:rPr>
                            <w:rFonts w:ascii="Cambria Math" w:hAnsi="Cambria Math"/>
                          </w:rPr>
                          <m:t>R</m:t>
                        </m:r>
                        <m:r>
                          <m:rPr>
                            <m:sty m:val="p"/>
                          </m:rPr>
                          <w:rPr>
                            <w:rFonts w:ascii="Cambria Math" w:hAnsi="Cambria Math"/>
                          </w:rPr>
                          <m:t>+1</m:t>
                        </m:r>
                      </m:den>
                    </m:f>
                  </m:e>
                </m:d>
              </m:oMath>
            </m:oMathPara>
          </w:p>
        </w:tc>
        <w:tc>
          <w:tcPr>
            <w:tcW w:w="576" w:type="dxa"/>
            <w:vAlign w:val="center"/>
          </w:tcPr>
          <w:p w:rsidR="00FB685D" w:rsidRPr="00CC0BF5" w:rsidRDefault="00FB685D" w:rsidP="00544214">
            <w:pPr>
              <w:pStyle w:val="BodyText"/>
              <w:keepNext/>
              <w:jc w:val="right"/>
              <w:rPr>
                <w:rFonts w:ascii="Cambria Math" w:hAnsi="Cambria Math"/>
              </w:rPr>
            </w:pPr>
            <w:r w:rsidRPr="00CC0BF5">
              <w:rPr>
                <w:rFonts w:ascii="Cambria Math" w:hAnsi="Cambria Math"/>
              </w:rPr>
              <w:t>(</w:t>
            </w:r>
            <w:r w:rsidRPr="00CC0BF5">
              <w:rPr>
                <w:rFonts w:ascii="Cambria Math" w:hAnsi="Cambria Math"/>
              </w:rPr>
              <w:fldChar w:fldCharType="begin"/>
            </w:r>
            <w:r w:rsidRPr="00CC0BF5">
              <w:rPr>
                <w:rFonts w:ascii="Cambria Math" w:hAnsi="Cambria Math"/>
              </w:rPr>
              <w:instrText xml:space="preserve"> SEQ Equations\* Arabic \* MERGEFORMAT </w:instrText>
            </w:r>
            <w:r w:rsidRPr="00CC0BF5">
              <w:rPr>
                <w:rFonts w:ascii="Cambria Math" w:hAnsi="Cambria Math"/>
              </w:rPr>
              <w:fldChar w:fldCharType="separate"/>
            </w:r>
            <w:r w:rsidR="00C67A10">
              <w:rPr>
                <w:rFonts w:ascii="Cambria Math" w:hAnsi="Cambria Math"/>
                <w:noProof/>
              </w:rPr>
              <w:t>4</w:t>
            </w:r>
            <w:r w:rsidRPr="00CC0BF5">
              <w:rPr>
                <w:rFonts w:ascii="Cambria Math" w:hAnsi="Cambria Math"/>
              </w:rPr>
              <w:fldChar w:fldCharType="end"/>
            </w:r>
            <w:r w:rsidRPr="00CC0BF5">
              <w:rPr>
                <w:rFonts w:ascii="Cambria Math" w:hAnsi="Cambria Math"/>
              </w:rPr>
              <w:t>)</w:t>
            </w:r>
          </w:p>
        </w:tc>
      </w:tr>
    </w:tbl>
    <w:p w:rsidR="00DE4AA0" w:rsidRPr="00F81028" w:rsidRDefault="00DE4AA0" w:rsidP="00AE0A57">
      <w:pPr>
        <w:pStyle w:val="BodyText"/>
      </w:pPr>
      <w:proofErr w:type="gramStart"/>
      <w:r w:rsidRPr="00F81028">
        <w:t>where</w:t>
      </w:r>
      <w:proofErr w:type="gramEnd"/>
      <w:r w:rsidRPr="00F81028">
        <w:t xml:space="preserve"> </w:t>
      </w:r>
      <m:oMath>
        <m:r>
          <w:rPr>
            <w:rFonts w:ascii="Cambria Math" w:hAnsi="Cambria Math"/>
          </w:rPr>
          <m:t>M</m:t>
        </m:r>
        <m:r>
          <m:rPr>
            <m:sty m:val="p"/>
          </m:rPr>
          <w:rPr>
            <w:rFonts w:ascii="Cambria Math" w:hAnsi="Cambria Math"/>
          </w:rPr>
          <m:t>=</m:t>
        </m:r>
        <m:f>
          <m:fPr>
            <m:ctrlPr>
              <w:rPr>
                <w:rFonts w:ascii="Cambria Math" w:hAnsi="Cambria Math"/>
              </w:rPr>
            </m:ctrlPr>
          </m:fPr>
          <m:num>
            <m:r>
              <w:rPr>
                <w:rFonts w:ascii="Cambria Math" w:hAnsi="Cambria Math"/>
              </w:rPr>
              <m:t>Bid</m:t>
            </m:r>
            <m:r>
              <m:rPr>
                <m:sty m:val="p"/>
              </m:rPr>
              <w:rPr>
                <w:rFonts w:ascii="Cambria Math" w:hAnsi="Cambria Math"/>
              </w:rPr>
              <m:t>+</m:t>
            </m:r>
            <m:r>
              <w:rPr>
                <w:rFonts w:ascii="Cambria Math" w:hAnsi="Cambria Math"/>
              </w:rPr>
              <m:t>Ask</m:t>
            </m:r>
          </m:num>
          <m:den>
            <m:r>
              <m:rPr>
                <m:sty m:val="p"/>
              </m:rPr>
              <w:rPr>
                <w:rFonts w:ascii="Cambria Math" w:hAnsi="Cambria Math"/>
              </w:rPr>
              <m:t>2</m:t>
            </m:r>
          </m:den>
        </m:f>
      </m:oMath>
      <w:r w:rsidRPr="00F81028">
        <w:t xml:space="preserve"> is the quote midpoint. </w:t>
      </w:r>
    </w:p>
    <w:p w:rsidR="00DE4AA0" w:rsidRPr="00F81028" w:rsidRDefault="00DE4AA0" w:rsidP="00AE0A57">
      <w:pPr>
        <w:pStyle w:val="BodyText"/>
      </w:pPr>
      <w:r w:rsidRPr="00F81028">
        <w:t xml:space="preserve">Practitioners </w:t>
      </w:r>
      <w:r w:rsidR="00950213">
        <w:t>sometimes</w:t>
      </w:r>
      <w:r w:rsidRPr="00F81028">
        <w:t xml:space="preserve"> call this estimate of true value the </w:t>
      </w:r>
      <w:proofErr w:type="spellStart"/>
      <w:r w:rsidR="00837E43">
        <w:t>micro</w:t>
      </w:r>
      <w:r w:rsidRPr="00F81028">
        <w:t>price</w:t>
      </w:r>
      <w:proofErr w:type="spellEnd"/>
      <w:r w:rsidRPr="00F81028">
        <w:t>.</w:t>
      </w:r>
      <w:r w:rsidR="00837E43">
        <w:rPr>
          <w:rStyle w:val="FootnoteReference"/>
        </w:rPr>
        <w:footnoteReference w:id="9"/>
      </w:r>
      <w:r w:rsidRPr="00F81028">
        <w:t xml:space="preserve">  It is represented graphically in Figure 1 by Point M where angles </w:t>
      </w:r>
      <w:r w:rsidRPr="00F81028">
        <w:sym w:font="Symbol" w:char="F0D0"/>
      </w:r>
      <w:r w:rsidRPr="00F81028">
        <w:t xml:space="preserve">1 and </w:t>
      </w:r>
      <w:r w:rsidRPr="00F81028">
        <w:sym w:font="Symbol" w:char="F0D0"/>
      </w:r>
      <w:r w:rsidRPr="00F81028">
        <w:t xml:space="preserve">2 are equal.  In the above example, the value estimate </w:t>
      </w:r>
      <w:proofErr w:type="gramStart"/>
      <w:r w:rsidRPr="00F81028">
        <w:t xml:space="preserve">is </w:t>
      </w:r>
      <w:proofErr w:type="gramEnd"/>
      <m:oMath>
        <m:r>
          <m:rPr>
            <m:sty m:val="p"/>
          </m:rPr>
          <w:rPr>
            <w:rFonts w:ascii="Cambria Math" w:hAnsi="Cambria Math"/>
          </w:rPr>
          <m:t>1.7¢=</m:t>
        </m:r>
        <m:f>
          <m:fPr>
            <m:ctrlPr>
              <w:rPr>
                <w:rFonts w:ascii="Cambria Math" w:hAnsi="Cambria Math"/>
              </w:rPr>
            </m:ctrlPr>
          </m:fPr>
          <m:num>
            <m:r>
              <m:rPr>
                <m:sty m:val="p"/>
              </m:rPr>
              <w:rPr>
                <w:rFonts w:ascii="Cambria Math" w:hAnsi="Cambria Math"/>
              </w:rPr>
              <m:t>12</m:t>
            </m:r>
          </m:num>
          <m:den>
            <m:r>
              <m:rPr>
                <m:sty m:val="p"/>
              </m:rPr>
              <w:rPr>
                <w:rFonts w:ascii="Cambria Math" w:hAnsi="Cambria Math"/>
              </w:rPr>
              <m:t>28+12</m:t>
            </m:r>
          </m:den>
        </m:f>
        <m:r>
          <m:rPr>
            <m:sty m:val="p"/>
          </m:rPr>
          <w:rPr>
            <w:rFonts w:ascii="Cambria Math" w:hAnsi="Cambria Math"/>
          </w:rPr>
          <m:t>1¢+</m:t>
        </m:r>
        <m:f>
          <m:fPr>
            <m:ctrlPr>
              <w:rPr>
                <w:rFonts w:ascii="Cambria Math" w:hAnsi="Cambria Math"/>
              </w:rPr>
            </m:ctrlPr>
          </m:fPr>
          <m:num>
            <m:r>
              <m:rPr>
                <m:sty m:val="p"/>
              </m:rPr>
              <w:rPr>
                <w:rFonts w:ascii="Cambria Math" w:hAnsi="Cambria Math"/>
              </w:rPr>
              <m:t>28</m:t>
            </m:r>
          </m:num>
          <m:den>
            <m:r>
              <m:rPr>
                <m:sty m:val="p"/>
              </m:rPr>
              <w:rPr>
                <w:rFonts w:ascii="Cambria Math" w:hAnsi="Cambria Math"/>
              </w:rPr>
              <m:t>28+12</m:t>
            </m:r>
          </m:den>
        </m:f>
        <m:r>
          <m:rPr>
            <m:sty m:val="p"/>
          </m:rPr>
          <w:rPr>
            <w:rFonts w:ascii="Cambria Math" w:hAnsi="Cambria Math"/>
          </w:rPr>
          <m:t>2</m:t>
        </m:r>
        <m:r>
          <w:rPr>
            <w:rFonts w:ascii="Cambria Math" w:hAnsi="Cambria Math"/>
          </w:rPr>
          <m:t>¢</m:t>
        </m:r>
      </m:oMath>
      <w:r w:rsidRPr="00F81028">
        <w:t>.</w:t>
      </w:r>
    </w:p>
    <w:p w:rsidR="00DE4AA0" w:rsidRPr="00F81028" w:rsidRDefault="00DE4AA0" w:rsidP="00AE0A57">
      <w:pPr>
        <w:pStyle w:val="BodyText"/>
      </w:pPr>
      <w:r w:rsidRPr="00F81028">
        <w:t xml:space="preserve">The following three observations provide theoretical foundations for this value estimate:  </w:t>
      </w:r>
    </w:p>
    <w:p w:rsidR="00DE4AA0" w:rsidRPr="00F81028" w:rsidRDefault="00DE4AA0" w:rsidP="00AE0A57">
      <w:pPr>
        <w:pStyle w:val="BodyText"/>
        <w:numPr>
          <w:ilvl w:val="0"/>
          <w:numId w:val="5"/>
        </w:numPr>
      </w:pPr>
      <w:r w:rsidRPr="00F81028">
        <w:t xml:space="preserve">The linear supply and demand schedules that motivate the derivation of this estimate are easily derived from the maximization of an exponential utility function, which generally can serve as a local approximation to any utility function.  </w:t>
      </w:r>
    </w:p>
    <w:p w:rsidR="00DE4AA0" w:rsidRPr="00F81028" w:rsidRDefault="00DE4AA0" w:rsidP="00AE0A57">
      <w:pPr>
        <w:pStyle w:val="BodyText"/>
        <w:numPr>
          <w:ilvl w:val="0"/>
          <w:numId w:val="5"/>
        </w:numPr>
      </w:pPr>
      <w:r w:rsidRPr="00F81028">
        <w:t xml:space="preserve">Alternatively, linear demand and supply functions with equal absolute slopes </w:t>
      </w:r>
      <w:r w:rsidR="00DA7E60">
        <w:t xml:space="preserve">and </w:t>
      </w:r>
      <w:r w:rsidRPr="00F81028">
        <w:t>that intersect where size is equal to zero can be taken as local approximations to any demand and supply functions that 1) depend only on common value estimates and 2) are not subject to profitable bluffing strategies a</w:t>
      </w:r>
      <w:r w:rsidR="002379F3">
        <w:t>s described in Kyle (1985</w:t>
      </w:r>
      <w:r w:rsidRPr="00F81028">
        <w:t xml:space="preserve">).  The first condition ensures that the demand and supply are zero at the common best estimate of true value while the second condition ensures that the absolute values of the two slopes are equal.  </w:t>
      </w:r>
    </w:p>
    <w:p w:rsidR="00DE4AA0" w:rsidRPr="00F81028" w:rsidRDefault="00DE4AA0" w:rsidP="00AE0A57">
      <w:pPr>
        <w:pStyle w:val="BodyText"/>
        <w:numPr>
          <w:ilvl w:val="0"/>
          <w:numId w:val="5"/>
        </w:numPr>
      </w:pPr>
      <w:r w:rsidRPr="00F81028">
        <w:t xml:space="preserve">Finally, </w:t>
      </w:r>
      <w:r w:rsidR="00DA7E60">
        <w:t xml:space="preserve">expressions involving size-weighted averages of prices </w:t>
      </w:r>
      <w:r w:rsidRPr="00F81028">
        <w:t xml:space="preserve">also </w:t>
      </w:r>
      <w:r w:rsidR="00DA7E60">
        <w:t>appear</w:t>
      </w:r>
      <w:r w:rsidRPr="00F81028">
        <w:t xml:space="preserve"> as the market clearing price in simple continuous linear demand models in which traders do not have common value estimates such as in the models introduced in Grossman and </w:t>
      </w:r>
      <w:proofErr w:type="spellStart"/>
      <w:r w:rsidRPr="00F81028">
        <w:t>Stiglitz</w:t>
      </w:r>
      <w:proofErr w:type="spellEnd"/>
      <w:r w:rsidRPr="00F81028">
        <w:t xml:space="preserve"> (19</w:t>
      </w:r>
      <w:r w:rsidR="002379F3">
        <w:t>80</w:t>
      </w:r>
      <w:r w:rsidRPr="00F81028">
        <w:t xml:space="preserve">).  </w:t>
      </w:r>
    </w:p>
    <w:p w:rsidR="0032504C" w:rsidRDefault="0032504C" w:rsidP="002C49E1">
      <w:pPr>
        <w:pStyle w:val="Heading2"/>
      </w:pPr>
      <w:r>
        <w:t xml:space="preserve">The Adjusted Value Estimate </w:t>
      </w:r>
    </w:p>
    <w:p w:rsidR="00DE4AA0" w:rsidRDefault="00DE4AA0" w:rsidP="00AE0A57">
      <w:pPr>
        <w:pStyle w:val="BodyText"/>
      </w:pPr>
      <w:r w:rsidRPr="00F81028">
        <w:t xml:space="preserve">This value estimate does not take into account maker-taker access fees and rebates.  Accordingly, we will refer to it as the unadjusted value estimate.  As discussed above, the net bid price is approximately 0.3¢ smaller than the quoted bid price and the net ask price is approximately 0.3¢ larger than the quoted </w:t>
      </w:r>
      <w:r w:rsidR="009F6B2D">
        <w:t xml:space="preserve">ask </w:t>
      </w:r>
      <w:r w:rsidRPr="00F81028">
        <w:t xml:space="preserve">price.  On the assumption that rational traders take these fees and rebates into account when pricing and sizing their orders, the best estimate of true value given the assumptions described above is the solution for </w:t>
      </w:r>
      <m:oMath>
        <m:r>
          <w:rPr>
            <w:rFonts w:ascii="Cambria Math" w:hAnsi="Cambria Math"/>
          </w:rPr>
          <m:t>V</m:t>
        </m:r>
      </m:oMath>
      <w:r w:rsidRPr="00F81028">
        <w:t xml:space="preserve"> to the following formula, where </w:t>
      </w:r>
      <m:oMath>
        <m:r>
          <w:rPr>
            <w:rFonts w:ascii="Cambria Math" w:hAnsi="Cambria Math"/>
          </w:rPr>
          <m:t>c</m:t>
        </m:r>
      </m:oMath>
      <w:r w:rsidRPr="00F81028">
        <w:t xml:space="preserve"> represents the access fee, rebate, or some midpoint between the two: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84"/>
        <w:gridCol w:w="576"/>
      </w:tblGrid>
      <w:tr w:rsidR="00FB685D" w:rsidRPr="00CC0BF5" w:rsidTr="00544214">
        <w:tc>
          <w:tcPr>
            <w:tcW w:w="8784" w:type="dxa"/>
            <w:vAlign w:val="center"/>
          </w:tcPr>
          <w:p w:rsidR="00FB685D" w:rsidRPr="00FB685D" w:rsidRDefault="00C67A10" w:rsidP="00FB685D">
            <w:pPr>
              <w:pStyle w:val="BodyText"/>
              <w:rPr>
                <w:i/>
              </w:rPr>
            </w:pPr>
            <m:oMathPara>
              <m:oMath>
                <m:f>
                  <m:fPr>
                    <m:ctrlPr>
                      <w:rPr>
                        <w:rFonts w:ascii="Cambria Math" w:hAnsi="Cambria Math"/>
                        <w:i/>
                      </w:rPr>
                    </m:ctrlPr>
                  </m:fPr>
                  <m:num>
                    <m:sSub>
                      <m:sSubPr>
                        <m:ctrlPr>
                          <w:rPr>
                            <w:rFonts w:ascii="Cambria Math" w:hAnsi="Cambria Math"/>
                            <w:i/>
                          </w:rPr>
                        </m:ctrlPr>
                      </m:sSubPr>
                      <m:e>
                        <m:r>
                          <w:rPr>
                            <w:rFonts w:ascii="Cambria Math" w:hAnsi="Cambria Math"/>
                          </w:rPr>
                          <m:t>Size</m:t>
                        </m:r>
                      </m:e>
                      <m:sub>
                        <m:r>
                          <w:rPr>
                            <w:rFonts w:ascii="Cambria Math" w:hAnsi="Cambria Math"/>
                          </w:rPr>
                          <m:t>Ask</m:t>
                        </m:r>
                      </m:sub>
                    </m:sSub>
                  </m:num>
                  <m:den>
                    <m:r>
                      <w:rPr>
                        <w:rFonts w:ascii="Cambria Math" w:hAnsi="Cambria Math"/>
                      </w:rPr>
                      <m:t>Ask+c-V</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Size</m:t>
                        </m:r>
                      </m:e>
                      <m:sub>
                        <m:r>
                          <w:rPr>
                            <w:rFonts w:ascii="Cambria Math" w:hAnsi="Cambria Math"/>
                          </w:rPr>
                          <m:t>Bid</m:t>
                        </m:r>
                      </m:sub>
                    </m:sSub>
                  </m:num>
                  <m:den>
                    <m:r>
                      <w:rPr>
                        <w:rFonts w:ascii="Cambria Math" w:hAnsi="Cambria Math"/>
                      </w:rPr>
                      <m:t>V-</m:t>
                    </m:r>
                    <m:d>
                      <m:dPr>
                        <m:ctrlPr>
                          <w:rPr>
                            <w:rFonts w:ascii="Cambria Math" w:hAnsi="Cambria Math"/>
                            <w:i/>
                          </w:rPr>
                        </m:ctrlPr>
                      </m:dPr>
                      <m:e>
                        <m:r>
                          <w:rPr>
                            <w:rFonts w:ascii="Cambria Math" w:hAnsi="Cambria Math"/>
                          </w:rPr>
                          <m:t>Bid-c</m:t>
                        </m:r>
                      </m:e>
                    </m:d>
                  </m:den>
                </m:f>
              </m:oMath>
            </m:oMathPara>
          </w:p>
        </w:tc>
        <w:tc>
          <w:tcPr>
            <w:tcW w:w="576" w:type="dxa"/>
            <w:vAlign w:val="center"/>
          </w:tcPr>
          <w:p w:rsidR="00FB685D" w:rsidRPr="00CC0BF5" w:rsidRDefault="00FB685D" w:rsidP="00544214">
            <w:pPr>
              <w:pStyle w:val="BodyText"/>
              <w:keepNext/>
              <w:jc w:val="right"/>
              <w:rPr>
                <w:rFonts w:ascii="Cambria Math" w:hAnsi="Cambria Math"/>
              </w:rPr>
            </w:pPr>
            <w:r w:rsidRPr="00CC0BF5">
              <w:rPr>
                <w:rFonts w:ascii="Cambria Math" w:hAnsi="Cambria Math"/>
              </w:rPr>
              <w:t>(</w:t>
            </w:r>
            <w:r w:rsidRPr="00CC0BF5">
              <w:rPr>
                <w:rFonts w:ascii="Cambria Math" w:hAnsi="Cambria Math"/>
              </w:rPr>
              <w:fldChar w:fldCharType="begin"/>
            </w:r>
            <w:r w:rsidRPr="00CC0BF5">
              <w:rPr>
                <w:rFonts w:ascii="Cambria Math" w:hAnsi="Cambria Math"/>
              </w:rPr>
              <w:instrText xml:space="preserve"> SEQ Equations\* Arabic \* MERGEFORMAT </w:instrText>
            </w:r>
            <w:r w:rsidRPr="00CC0BF5">
              <w:rPr>
                <w:rFonts w:ascii="Cambria Math" w:hAnsi="Cambria Math"/>
              </w:rPr>
              <w:fldChar w:fldCharType="separate"/>
            </w:r>
            <w:r w:rsidR="00C67A10">
              <w:rPr>
                <w:rFonts w:ascii="Cambria Math" w:hAnsi="Cambria Math"/>
                <w:noProof/>
              </w:rPr>
              <w:t>5</w:t>
            </w:r>
            <w:r w:rsidRPr="00CC0BF5">
              <w:rPr>
                <w:rFonts w:ascii="Cambria Math" w:hAnsi="Cambria Math"/>
              </w:rPr>
              <w:fldChar w:fldCharType="end"/>
            </w:r>
            <w:r w:rsidRPr="00CC0BF5">
              <w:rPr>
                <w:rFonts w:ascii="Cambria Math" w:hAnsi="Cambria Math"/>
              </w:rPr>
              <w:t>)</w:t>
            </w:r>
          </w:p>
        </w:tc>
      </w:tr>
    </w:tbl>
    <w:p w:rsidR="00DE4AA0" w:rsidRDefault="00DE4AA0" w:rsidP="00AE0A57">
      <w:pPr>
        <w:pStyle w:val="BodyText"/>
      </w:pPr>
      <w:r w:rsidRPr="00F81028">
        <w:t xml:space="preserve">The solution is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84"/>
        <w:gridCol w:w="576"/>
      </w:tblGrid>
      <w:tr w:rsidR="00FB685D" w:rsidRPr="00CC0BF5" w:rsidTr="00544214">
        <w:tc>
          <w:tcPr>
            <w:tcW w:w="8784" w:type="dxa"/>
            <w:vAlign w:val="center"/>
          </w:tcPr>
          <w:p w:rsidR="00FB685D" w:rsidRPr="00CC0BF5" w:rsidRDefault="00C67A10" w:rsidP="00544214">
            <w:pPr>
              <w:pStyle w:val="BodyText"/>
              <w:keepNext/>
              <w:jc w:val="center"/>
              <w:rPr>
                <w:rFonts w:ascii="Cambria Math" w:hAnsi="Cambria Math"/>
              </w:rPr>
            </w:pPr>
            <m:oMathPara>
              <m:oMath>
                <m:sSup>
                  <m:sSupPr>
                    <m:ctrlPr>
                      <w:rPr>
                        <w:rFonts w:ascii="Cambria Math" w:hAnsi="Cambria Math"/>
                        <w:i/>
                      </w:rPr>
                    </m:ctrlPr>
                  </m:sSupPr>
                  <m:e>
                    <m:acc>
                      <m:accPr>
                        <m:ctrlPr>
                          <w:rPr>
                            <w:rFonts w:ascii="Cambria Math" w:hAnsi="Cambria Math"/>
                            <w:i/>
                          </w:rPr>
                        </m:ctrlPr>
                      </m:accPr>
                      <m:e>
                        <m:r>
                          <w:rPr>
                            <w:rFonts w:ascii="Cambria Math" w:hAnsi="Cambria Math"/>
                          </w:rPr>
                          <m:t>V</m:t>
                        </m:r>
                      </m:e>
                    </m:acc>
                  </m:e>
                  <m:sup>
                    <m:r>
                      <w:rPr>
                        <w:rFonts w:ascii="Cambria Math" w:hAnsi="Cambria Math"/>
                      </w:rPr>
                      <m:t>a</m:t>
                    </m:r>
                  </m:sup>
                </m:sSup>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Size</m:t>
                        </m:r>
                      </m:e>
                      <m:sub>
                        <m:r>
                          <w:rPr>
                            <w:rFonts w:ascii="Cambria Math" w:hAnsi="Cambria Math"/>
                          </w:rPr>
                          <m:t>Ask</m:t>
                        </m:r>
                      </m:sub>
                    </m:sSub>
                  </m:num>
                  <m:den>
                    <m:sSub>
                      <m:sSubPr>
                        <m:ctrlPr>
                          <w:rPr>
                            <w:rFonts w:ascii="Cambria Math" w:hAnsi="Cambria Math"/>
                            <w:i/>
                          </w:rPr>
                        </m:ctrlPr>
                      </m:sSubPr>
                      <m:e>
                        <m:r>
                          <w:rPr>
                            <w:rFonts w:ascii="Cambria Math" w:hAnsi="Cambria Math"/>
                          </w:rPr>
                          <m:t>Size</m:t>
                        </m:r>
                      </m:e>
                      <m:sub>
                        <m:r>
                          <w:rPr>
                            <w:rFonts w:ascii="Cambria Math" w:hAnsi="Cambria Math"/>
                          </w:rPr>
                          <m:t>Ask</m:t>
                        </m:r>
                      </m:sub>
                    </m:sSub>
                    <m:r>
                      <w:rPr>
                        <w:rFonts w:ascii="Cambria Math" w:hAnsi="Cambria Math"/>
                      </w:rPr>
                      <m:t>+</m:t>
                    </m:r>
                    <m:sSub>
                      <m:sSubPr>
                        <m:ctrlPr>
                          <w:rPr>
                            <w:rFonts w:ascii="Cambria Math" w:hAnsi="Cambria Math"/>
                            <w:i/>
                          </w:rPr>
                        </m:ctrlPr>
                      </m:sSubPr>
                      <m:e>
                        <m:r>
                          <w:rPr>
                            <w:rFonts w:ascii="Cambria Math" w:hAnsi="Cambria Math"/>
                          </w:rPr>
                          <m:t>Size</m:t>
                        </m:r>
                      </m:e>
                      <m:sub>
                        <m:r>
                          <w:rPr>
                            <w:rFonts w:ascii="Cambria Math" w:hAnsi="Cambria Math"/>
                          </w:rPr>
                          <m:t>Bid</m:t>
                        </m:r>
                      </m:sub>
                    </m:sSub>
                  </m:den>
                </m:f>
                <m:d>
                  <m:dPr>
                    <m:ctrlPr>
                      <w:rPr>
                        <w:rFonts w:ascii="Cambria Math" w:hAnsi="Cambria Math"/>
                        <w:i/>
                      </w:rPr>
                    </m:ctrlPr>
                  </m:dPr>
                  <m:e>
                    <m:r>
                      <w:rPr>
                        <w:rFonts w:ascii="Cambria Math" w:hAnsi="Cambria Math"/>
                      </w:rPr>
                      <m:t>Bid-c</m:t>
                    </m:r>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Size</m:t>
                        </m:r>
                      </m:e>
                      <m:sub>
                        <m:r>
                          <w:rPr>
                            <w:rFonts w:ascii="Cambria Math" w:hAnsi="Cambria Math"/>
                          </w:rPr>
                          <m:t>Bid</m:t>
                        </m:r>
                      </m:sub>
                    </m:sSub>
                  </m:num>
                  <m:den>
                    <m:sSub>
                      <m:sSubPr>
                        <m:ctrlPr>
                          <w:rPr>
                            <w:rFonts w:ascii="Cambria Math" w:hAnsi="Cambria Math"/>
                            <w:i/>
                          </w:rPr>
                        </m:ctrlPr>
                      </m:sSubPr>
                      <m:e>
                        <m:r>
                          <w:rPr>
                            <w:rFonts w:ascii="Cambria Math" w:hAnsi="Cambria Math"/>
                          </w:rPr>
                          <m:t>Size</m:t>
                        </m:r>
                      </m:e>
                      <m:sub>
                        <m:r>
                          <w:rPr>
                            <w:rFonts w:ascii="Cambria Math" w:hAnsi="Cambria Math"/>
                          </w:rPr>
                          <m:t>Ask</m:t>
                        </m:r>
                      </m:sub>
                    </m:sSub>
                    <m:r>
                      <w:rPr>
                        <w:rFonts w:ascii="Cambria Math" w:hAnsi="Cambria Math"/>
                      </w:rPr>
                      <m:t>+</m:t>
                    </m:r>
                    <m:sSub>
                      <m:sSubPr>
                        <m:ctrlPr>
                          <w:rPr>
                            <w:rFonts w:ascii="Cambria Math" w:hAnsi="Cambria Math"/>
                            <w:i/>
                          </w:rPr>
                        </m:ctrlPr>
                      </m:sSubPr>
                      <m:e>
                        <m:r>
                          <w:rPr>
                            <w:rFonts w:ascii="Cambria Math" w:hAnsi="Cambria Math"/>
                          </w:rPr>
                          <m:t>Size</m:t>
                        </m:r>
                      </m:e>
                      <m:sub>
                        <m:r>
                          <w:rPr>
                            <w:rFonts w:ascii="Cambria Math" w:hAnsi="Cambria Math"/>
                          </w:rPr>
                          <m:t>Bid</m:t>
                        </m:r>
                      </m:sub>
                    </m:sSub>
                  </m:den>
                </m:f>
                <m:d>
                  <m:dPr>
                    <m:ctrlPr>
                      <w:rPr>
                        <w:rFonts w:ascii="Cambria Math" w:hAnsi="Cambria Math"/>
                        <w:i/>
                      </w:rPr>
                    </m:ctrlPr>
                  </m:dPr>
                  <m:e>
                    <m:r>
                      <w:rPr>
                        <w:rFonts w:ascii="Cambria Math" w:hAnsi="Cambria Math"/>
                      </w:rPr>
                      <m:t>Ask+c</m:t>
                    </m:r>
                  </m:e>
                </m:d>
              </m:oMath>
            </m:oMathPara>
          </w:p>
        </w:tc>
        <w:tc>
          <w:tcPr>
            <w:tcW w:w="576" w:type="dxa"/>
            <w:vAlign w:val="center"/>
          </w:tcPr>
          <w:p w:rsidR="00FB685D" w:rsidRPr="00CC0BF5" w:rsidRDefault="00FB685D" w:rsidP="00544214">
            <w:pPr>
              <w:pStyle w:val="BodyText"/>
              <w:keepNext/>
              <w:jc w:val="right"/>
              <w:rPr>
                <w:rFonts w:ascii="Cambria Math" w:hAnsi="Cambria Math"/>
              </w:rPr>
            </w:pPr>
            <w:r w:rsidRPr="00CC0BF5">
              <w:rPr>
                <w:rFonts w:ascii="Cambria Math" w:hAnsi="Cambria Math"/>
              </w:rPr>
              <w:t>(</w:t>
            </w:r>
            <w:r w:rsidRPr="00CC0BF5">
              <w:rPr>
                <w:rFonts w:ascii="Cambria Math" w:hAnsi="Cambria Math"/>
              </w:rPr>
              <w:fldChar w:fldCharType="begin"/>
            </w:r>
            <w:r w:rsidRPr="00CC0BF5">
              <w:rPr>
                <w:rFonts w:ascii="Cambria Math" w:hAnsi="Cambria Math"/>
              </w:rPr>
              <w:instrText xml:space="preserve"> SEQ Equations\* Arabic \* MERGEFORMAT </w:instrText>
            </w:r>
            <w:r w:rsidRPr="00CC0BF5">
              <w:rPr>
                <w:rFonts w:ascii="Cambria Math" w:hAnsi="Cambria Math"/>
              </w:rPr>
              <w:fldChar w:fldCharType="separate"/>
            </w:r>
            <w:r w:rsidR="00C67A10">
              <w:rPr>
                <w:rFonts w:ascii="Cambria Math" w:hAnsi="Cambria Math"/>
                <w:noProof/>
              </w:rPr>
              <w:t>6</w:t>
            </w:r>
            <w:r w:rsidRPr="00CC0BF5">
              <w:rPr>
                <w:rFonts w:ascii="Cambria Math" w:hAnsi="Cambria Math"/>
              </w:rPr>
              <w:fldChar w:fldCharType="end"/>
            </w:r>
            <w:r w:rsidRPr="00CC0BF5">
              <w:rPr>
                <w:rFonts w:ascii="Cambria Math" w:hAnsi="Cambria Math"/>
              </w:rPr>
              <w:t>)</w:t>
            </w:r>
          </w:p>
        </w:tc>
      </w:tr>
    </w:tbl>
    <w:p w:rsidR="00DE4AA0" w:rsidRDefault="00DE4AA0" w:rsidP="00AE0A57">
      <w:pPr>
        <w:pStyle w:val="BodyText"/>
      </w:pPr>
      <w:proofErr w:type="gramStart"/>
      <w:r w:rsidRPr="00F81028">
        <w:t>which</w:t>
      </w:r>
      <w:proofErr w:type="gramEnd"/>
      <w:r w:rsidRPr="00F81028">
        <w:t xml:space="preserve"> also can be expressed as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84"/>
        <w:gridCol w:w="576"/>
      </w:tblGrid>
      <w:tr w:rsidR="00FB685D" w:rsidRPr="00CC0BF5" w:rsidTr="00544214">
        <w:tc>
          <w:tcPr>
            <w:tcW w:w="8784" w:type="dxa"/>
            <w:vAlign w:val="center"/>
          </w:tcPr>
          <w:p w:rsidR="00FB685D" w:rsidRPr="00CC0BF5" w:rsidRDefault="00C67A10" w:rsidP="00544214">
            <w:pPr>
              <w:pStyle w:val="BodyText"/>
              <w:keepNext/>
              <w:jc w:val="center"/>
              <w:rPr>
                <w:rFonts w:ascii="Cambria Math" w:hAnsi="Cambria Math"/>
              </w:rPr>
            </w:pPr>
            <m:oMathPara>
              <m:oMath>
                <m:sSup>
                  <m:sSupPr>
                    <m:ctrlPr>
                      <w:rPr>
                        <w:rFonts w:ascii="Cambria Math" w:hAnsi="Cambria Math"/>
                        <w:i/>
                      </w:rPr>
                    </m:ctrlPr>
                  </m:sSupPr>
                  <m:e>
                    <m:acc>
                      <m:accPr>
                        <m:ctrlPr>
                          <w:rPr>
                            <w:rFonts w:ascii="Cambria Math" w:hAnsi="Cambria Math"/>
                            <w:i/>
                          </w:rPr>
                        </m:ctrlPr>
                      </m:accPr>
                      <m:e>
                        <m:r>
                          <w:rPr>
                            <w:rFonts w:ascii="Cambria Math" w:hAnsi="Cambria Math"/>
                          </w:rPr>
                          <m:t>V</m:t>
                        </m:r>
                      </m:e>
                    </m:acc>
                  </m:e>
                  <m:sup>
                    <m:r>
                      <w:rPr>
                        <w:rFonts w:ascii="Cambria Math" w:hAnsi="Cambria Math"/>
                      </w:rPr>
                      <m:t>a</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1+R</m:t>
                    </m:r>
                  </m:den>
                </m:f>
                <m:d>
                  <m:dPr>
                    <m:ctrlPr>
                      <w:rPr>
                        <w:rFonts w:ascii="Cambria Math" w:hAnsi="Cambria Math"/>
                        <w:i/>
                      </w:rPr>
                    </m:ctrlPr>
                  </m:dPr>
                  <m:e>
                    <m:r>
                      <w:rPr>
                        <w:rFonts w:ascii="Cambria Math" w:hAnsi="Cambria Math"/>
                      </w:rPr>
                      <m:t>Bid-c</m:t>
                    </m:r>
                  </m:e>
                </m:d>
                <m:r>
                  <w:rPr>
                    <w:rFonts w:ascii="Cambria Math" w:hAnsi="Cambria Math"/>
                  </w:rPr>
                  <m:t>+</m:t>
                </m:r>
                <m:f>
                  <m:fPr>
                    <m:ctrlPr>
                      <w:rPr>
                        <w:rFonts w:ascii="Cambria Math" w:hAnsi="Cambria Math"/>
                        <w:i/>
                      </w:rPr>
                    </m:ctrlPr>
                  </m:fPr>
                  <m:num>
                    <m:r>
                      <w:rPr>
                        <w:rFonts w:ascii="Cambria Math" w:hAnsi="Cambria Math"/>
                      </w:rPr>
                      <m:t>R</m:t>
                    </m:r>
                  </m:num>
                  <m:den>
                    <m:r>
                      <w:rPr>
                        <w:rFonts w:ascii="Cambria Math" w:hAnsi="Cambria Math"/>
                      </w:rPr>
                      <m:t>1+R</m:t>
                    </m:r>
                  </m:den>
                </m:f>
                <m:d>
                  <m:dPr>
                    <m:ctrlPr>
                      <w:rPr>
                        <w:rFonts w:ascii="Cambria Math" w:hAnsi="Cambria Math"/>
                        <w:i/>
                      </w:rPr>
                    </m:ctrlPr>
                  </m:dPr>
                  <m:e>
                    <m:r>
                      <w:rPr>
                        <w:rFonts w:ascii="Cambria Math" w:hAnsi="Cambria Math"/>
                      </w:rPr>
                      <m:t>Ask+c</m:t>
                    </m:r>
                  </m:e>
                </m:d>
              </m:oMath>
            </m:oMathPara>
          </w:p>
        </w:tc>
        <w:tc>
          <w:tcPr>
            <w:tcW w:w="576" w:type="dxa"/>
            <w:vAlign w:val="center"/>
          </w:tcPr>
          <w:p w:rsidR="00FB685D" w:rsidRPr="00CC0BF5" w:rsidRDefault="00FB685D" w:rsidP="00544214">
            <w:pPr>
              <w:pStyle w:val="BodyText"/>
              <w:keepNext/>
              <w:jc w:val="right"/>
              <w:rPr>
                <w:rFonts w:ascii="Cambria Math" w:hAnsi="Cambria Math"/>
              </w:rPr>
            </w:pPr>
            <w:r w:rsidRPr="00CC0BF5">
              <w:rPr>
                <w:rFonts w:ascii="Cambria Math" w:hAnsi="Cambria Math"/>
              </w:rPr>
              <w:t>(</w:t>
            </w:r>
            <w:r w:rsidRPr="00CC0BF5">
              <w:rPr>
                <w:rFonts w:ascii="Cambria Math" w:hAnsi="Cambria Math"/>
              </w:rPr>
              <w:fldChar w:fldCharType="begin"/>
            </w:r>
            <w:r w:rsidRPr="00CC0BF5">
              <w:rPr>
                <w:rFonts w:ascii="Cambria Math" w:hAnsi="Cambria Math"/>
              </w:rPr>
              <w:instrText xml:space="preserve"> SEQ Equations\* Arabic \* MERGEFORMAT </w:instrText>
            </w:r>
            <w:r w:rsidRPr="00CC0BF5">
              <w:rPr>
                <w:rFonts w:ascii="Cambria Math" w:hAnsi="Cambria Math"/>
              </w:rPr>
              <w:fldChar w:fldCharType="separate"/>
            </w:r>
            <w:r w:rsidR="00C67A10">
              <w:rPr>
                <w:rFonts w:ascii="Cambria Math" w:hAnsi="Cambria Math"/>
                <w:noProof/>
              </w:rPr>
              <w:t>7</w:t>
            </w:r>
            <w:r w:rsidRPr="00CC0BF5">
              <w:rPr>
                <w:rFonts w:ascii="Cambria Math" w:hAnsi="Cambria Math"/>
              </w:rPr>
              <w:fldChar w:fldCharType="end"/>
            </w:r>
            <w:r w:rsidRPr="00CC0BF5">
              <w:rPr>
                <w:rFonts w:ascii="Cambria Math" w:hAnsi="Cambria Math"/>
              </w:rPr>
              <w:t>)</w:t>
            </w:r>
          </w:p>
        </w:tc>
      </w:tr>
    </w:tbl>
    <w:p w:rsidR="00DE4AA0" w:rsidRDefault="00DE4AA0" w:rsidP="00AE0A57">
      <w:pPr>
        <w:pStyle w:val="BodyText"/>
      </w:pPr>
      <w:proofErr w:type="gramStart"/>
      <w:r w:rsidRPr="00F81028">
        <w:t>or</w:t>
      </w:r>
      <w:proofErr w:type="gramEnd"/>
      <w:r w:rsidRPr="00F81028">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84"/>
        <w:gridCol w:w="576"/>
      </w:tblGrid>
      <w:tr w:rsidR="00FB685D" w:rsidRPr="00CC0BF5" w:rsidTr="00544214">
        <w:tc>
          <w:tcPr>
            <w:tcW w:w="8784" w:type="dxa"/>
            <w:vAlign w:val="center"/>
          </w:tcPr>
          <w:p w:rsidR="00FB685D" w:rsidRPr="00CC0BF5" w:rsidRDefault="00C67A10" w:rsidP="00544214">
            <w:pPr>
              <w:pStyle w:val="BodyText"/>
              <w:keepNext/>
              <w:jc w:val="center"/>
              <w:rPr>
                <w:rFonts w:ascii="Cambria Math" w:hAnsi="Cambria Math"/>
              </w:rPr>
            </w:pPr>
            <m:oMathPara>
              <m:oMath>
                <m:sSup>
                  <m:sSupPr>
                    <m:ctrlPr>
                      <w:rPr>
                        <w:rFonts w:ascii="Cambria Math" w:hAnsi="Cambria Math"/>
                        <w:i/>
                      </w:rPr>
                    </m:ctrlPr>
                  </m:sSupPr>
                  <m:e>
                    <m:acc>
                      <m:accPr>
                        <m:ctrlPr>
                          <w:rPr>
                            <w:rFonts w:ascii="Cambria Math" w:hAnsi="Cambria Math"/>
                            <w:i/>
                          </w:rPr>
                        </m:ctrlPr>
                      </m:accPr>
                      <m:e>
                        <m:r>
                          <w:rPr>
                            <w:rFonts w:ascii="Cambria Math" w:hAnsi="Cambria Math"/>
                          </w:rPr>
                          <m:t>V</m:t>
                        </m:r>
                      </m:e>
                    </m:acc>
                  </m:e>
                  <m:sup>
                    <m:r>
                      <w:rPr>
                        <w:rFonts w:ascii="Cambria Math" w:hAnsi="Cambria Math"/>
                      </w:rPr>
                      <m:t>a</m:t>
                    </m:r>
                  </m:sup>
                </m:sSup>
                <m:r>
                  <w:rPr>
                    <w:rFonts w:ascii="Cambria Math" w:hAnsi="Cambria Math"/>
                  </w:rPr>
                  <m:t>=M+</m:t>
                </m:r>
                <m:f>
                  <m:fPr>
                    <m:ctrlPr>
                      <w:rPr>
                        <w:rFonts w:ascii="Cambria Math" w:hAnsi="Cambria Math"/>
                        <w:i/>
                      </w:rPr>
                    </m:ctrlPr>
                  </m:fPr>
                  <m:num>
                    <m:r>
                      <w:rPr>
                        <w:rFonts w:ascii="Cambria Math" w:hAnsi="Cambria Math"/>
                      </w:rPr>
                      <m:t>S</m:t>
                    </m:r>
                  </m:num>
                  <m:den>
                    <m:r>
                      <w:rPr>
                        <w:rFonts w:ascii="Cambria Math" w:hAnsi="Cambria Math"/>
                      </w:rPr>
                      <m:t>2</m:t>
                    </m:r>
                  </m:den>
                </m:f>
                <m:d>
                  <m:dPr>
                    <m:ctrlPr>
                      <w:rPr>
                        <w:rFonts w:ascii="Cambria Math" w:hAnsi="Cambria Math"/>
                        <w:i/>
                      </w:rPr>
                    </m:ctrlPr>
                  </m:dPr>
                  <m:e>
                    <m:f>
                      <m:fPr>
                        <m:ctrlPr>
                          <w:rPr>
                            <w:rFonts w:ascii="Cambria Math" w:hAnsi="Cambria Math"/>
                            <w:i/>
                          </w:rPr>
                        </m:ctrlPr>
                      </m:fPr>
                      <m:num>
                        <m:r>
                          <w:rPr>
                            <w:rFonts w:ascii="Cambria Math" w:hAnsi="Cambria Math"/>
                          </w:rPr>
                          <m:t>R-1</m:t>
                        </m:r>
                      </m:num>
                      <m:den>
                        <m:r>
                          <w:rPr>
                            <w:rFonts w:ascii="Cambria Math" w:hAnsi="Cambria Math"/>
                          </w:rPr>
                          <m:t>R+1</m:t>
                        </m:r>
                      </m:den>
                    </m:f>
                  </m:e>
                </m:d>
                <m:r>
                  <w:rPr>
                    <w:rFonts w:ascii="Cambria Math" w:hAnsi="Cambria Math"/>
                  </w:rPr>
                  <m:t>+c</m:t>
                </m:r>
                <m:d>
                  <m:dPr>
                    <m:ctrlPr>
                      <w:rPr>
                        <w:rFonts w:ascii="Cambria Math" w:hAnsi="Cambria Math"/>
                        <w:i/>
                      </w:rPr>
                    </m:ctrlPr>
                  </m:dPr>
                  <m:e>
                    <m:f>
                      <m:fPr>
                        <m:ctrlPr>
                          <w:rPr>
                            <w:rFonts w:ascii="Cambria Math" w:hAnsi="Cambria Math"/>
                            <w:i/>
                          </w:rPr>
                        </m:ctrlPr>
                      </m:fPr>
                      <m:num>
                        <m:r>
                          <w:rPr>
                            <w:rFonts w:ascii="Cambria Math" w:hAnsi="Cambria Math"/>
                          </w:rPr>
                          <m:t>R-1</m:t>
                        </m:r>
                      </m:num>
                      <m:den>
                        <m:r>
                          <w:rPr>
                            <w:rFonts w:ascii="Cambria Math" w:hAnsi="Cambria Math"/>
                          </w:rPr>
                          <m:t>R+1</m:t>
                        </m:r>
                      </m:den>
                    </m:f>
                  </m:e>
                </m:d>
              </m:oMath>
            </m:oMathPara>
          </w:p>
        </w:tc>
        <w:tc>
          <w:tcPr>
            <w:tcW w:w="576" w:type="dxa"/>
            <w:vAlign w:val="center"/>
          </w:tcPr>
          <w:p w:rsidR="00FB685D" w:rsidRPr="00CC0BF5" w:rsidRDefault="00FB685D" w:rsidP="00544214">
            <w:pPr>
              <w:pStyle w:val="BodyText"/>
              <w:keepNext/>
              <w:jc w:val="right"/>
              <w:rPr>
                <w:rFonts w:ascii="Cambria Math" w:hAnsi="Cambria Math"/>
              </w:rPr>
            </w:pPr>
            <w:r w:rsidRPr="00CC0BF5">
              <w:rPr>
                <w:rFonts w:ascii="Cambria Math" w:hAnsi="Cambria Math"/>
              </w:rPr>
              <w:t>(</w:t>
            </w:r>
            <w:r w:rsidRPr="00CC0BF5">
              <w:rPr>
                <w:rFonts w:ascii="Cambria Math" w:hAnsi="Cambria Math"/>
              </w:rPr>
              <w:fldChar w:fldCharType="begin"/>
            </w:r>
            <w:r w:rsidRPr="00CC0BF5">
              <w:rPr>
                <w:rFonts w:ascii="Cambria Math" w:hAnsi="Cambria Math"/>
              </w:rPr>
              <w:instrText xml:space="preserve"> SEQ Equations\* Arabic \* MERGEFORMAT </w:instrText>
            </w:r>
            <w:r w:rsidRPr="00CC0BF5">
              <w:rPr>
                <w:rFonts w:ascii="Cambria Math" w:hAnsi="Cambria Math"/>
              </w:rPr>
              <w:fldChar w:fldCharType="separate"/>
            </w:r>
            <w:r w:rsidR="00C67A10">
              <w:rPr>
                <w:rFonts w:ascii="Cambria Math" w:hAnsi="Cambria Math"/>
                <w:noProof/>
              </w:rPr>
              <w:t>8</w:t>
            </w:r>
            <w:r w:rsidRPr="00CC0BF5">
              <w:rPr>
                <w:rFonts w:ascii="Cambria Math" w:hAnsi="Cambria Math"/>
              </w:rPr>
              <w:fldChar w:fldCharType="end"/>
            </w:r>
            <w:r w:rsidRPr="00CC0BF5">
              <w:rPr>
                <w:rFonts w:ascii="Cambria Math" w:hAnsi="Cambria Math"/>
              </w:rPr>
              <w:t>)</w:t>
            </w:r>
          </w:p>
        </w:tc>
      </w:tr>
    </w:tbl>
    <w:p w:rsidR="00DE4AA0" w:rsidRDefault="00DE4AA0" w:rsidP="00AE0A57">
      <w:pPr>
        <w:pStyle w:val="BodyText"/>
      </w:pPr>
      <w:r>
        <w:t xml:space="preserve">The adjusted value estimate expressed in terms of the unadjusted value estimates is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84"/>
        <w:gridCol w:w="576"/>
      </w:tblGrid>
      <w:tr w:rsidR="00FB685D" w:rsidRPr="00CC0BF5" w:rsidTr="00544214">
        <w:tc>
          <w:tcPr>
            <w:tcW w:w="8784" w:type="dxa"/>
            <w:vAlign w:val="center"/>
          </w:tcPr>
          <w:p w:rsidR="00FB685D" w:rsidRPr="00CC0BF5" w:rsidRDefault="00C67A10" w:rsidP="00544214">
            <w:pPr>
              <w:pStyle w:val="BodyText"/>
              <w:keepNext/>
              <w:jc w:val="center"/>
              <w:rPr>
                <w:rFonts w:ascii="Cambria Math" w:hAnsi="Cambria Math"/>
              </w:rPr>
            </w:pPr>
            <m:oMathPara>
              <m:oMath>
                <m:sSup>
                  <m:sSupPr>
                    <m:ctrlPr>
                      <w:rPr>
                        <w:rFonts w:ascii="Cambria Math" w:hAnsi="Cambria Math"/>
                        <w:i/>
                      </w:rPr>
                    </m:ctrlPr>
                  </m:sSupPr>
                  <m:e>
                    <m:acc>
                      <m:accPr>
                        <m:ctrlPr>
                          <w:rPr>
                            <w:rFonts w:ascii="Cambria Math" w:hAnsi="Cambria Math"/>
                            <w:i/>
                          </w:rPr>
                        </m:ctrlPr>
                      </m:accPr>
                      <m:e>
                        <m:r>
                          <w:rPr>
                            <w:rFonts w:ascii="Cambria Math" w:hAnsi="Cambria Math"/>
                          </w:rPr>
                          <m:t>V</m:t>
                        </m:r>
                      </m:e>
                    </m:acc>
                  </m:e>
                  <m:sup>
                    <m:r>
                      <w:rPr>
                        <w:rFonts w:ascii="Cambria Math" w:hAnsi="Cambria Math"/>
                      </w:rPr>
                      <m:t>a</m:t>
                    </m:r>
                  </m:sup>
                </m:sSup>
                <m:r>
                  <w:rPr>
                    <w:rFonts w:ascii="Cambria Math" w:hAnsi="Cambria Math"/>
                  </w:rPr>
                  <m:t>=</m:t>
                </m:r>
                <m:acc>
                  <m:accPr>
                    <m:ctrlPr>
                      <w:rPr>
                        <w:rFonts w:ascii="Cambria Math" w:hAnsi="Cambria Math"/>
                        <w:i/>
                      </w:rPr>
                    </m:ctrlPr>
                  </m:accPr>
                  <m:e>
                    <m:r>
                      <w:rPr>
                        <w:rFonts w:ascii="Cambria Math" w:hAnsi="Cambria Math"/>
                      </w:rPr>
                      <m:t>V</m:t>
                    </m:r>
                  </m:e>
                </m:acc>
                <m:r>
                  <w:rPr>
                    <w:rFonts w:ascii="Cambria Math" w:hAnsi="Cambria Math"/>
                  </w:rPr>
                  <m:t>+c</m:t>
                </m:r>
                <m:f>
                  <m:fPr>
                    <m:ctrlPr>
                      <w:rPr>
                        <w:rFonts w:ascii="Cambria Math" w:hAnsi="Cambria Math"/>
                        <w:i/>
                      </w:rPr>
                    </m:ctrlPr>
                  </m:fPr>
                  <m:num>
                    <m:r>
                      <w:rPr>
                        <w:rFonts w:ascii="Cambria Math" w:hAnsi="Cambria Math"/>
                      </w:rPr>
                      <m:t>R-1</m:t>
                    </m:r>
                  </m:num>
                  <m:den>
                    <m:r>
                      <w:rPr>
                        <w:rFonts w:ascii="Cambria Math" w:hAnsi="Cambria Math"/>
                      </w:rPr>
                      <m:t>R+1</m:t>
                    </m:r>
                  </m:den>
                </m:f>
                <m:r>
                  <w:rPr>
                    <w:rFonts w:ascii="Cambria Math" w:hAnsi="Cambria Math"/>
                  </w:rPr>
                  <m:t>=</m:t>
                </m:r>
                <m:acc>
                  <m:accPr>
                    <m:ctrlPr>
                      <w:rPr>
                        <w:rFonts w:ascii="Cambria Math" w:hAnsi="Cambria Math"/>
                        <w:i/>
                      </w:rPr>
                    </m:ctrlPr>
                  </m:accPr>
                  <m:e>
                    <m:r>
                      <w:rPr>
                        <w:rFonts w:ascii="Cambria Math" w:hAnsi="Cambria Math"/>
                      </w:rPr>
                      <m:t>V</m:t>
                    </m:r>
                  </m:e>
                </m:acc>
                <m:r>
                  <w:rPr>
                    <w:rFonts w:ascii="Cambria Math" w:hAnsi="Cambria Math"/>
                  </w:rPr>
                  <m:t>+c</m:t>
                </m:r>
                <m:f>
                  <m:fPr>
                    <m:ctrlPr>
                      <w:rPr>
                        <w:rFonts w:ascii="Cambria Math" w:hAnsi="Cambria Math"/>
                        <w:i/>
                      </w:rPr>
                    </m:ctrlPr>
                  </m:fPr>
                  <m:num>
                    <m:sSub>
                      <m:sSubPr>
                        <m:ctrlPr>
                          <w:rPr>
                            <w:rFonts w:ascii="Cambria Math" w:hAnsi="Cambria Math"/>
                            <w:i/>
                          </w:rPr>
                        </m:ctrlPr>
                      </m:sSubPr>
                      <m:e>
                        <m:r>
                          <w:rPr>
                            <w:rFonts w:ascii="Cambria Math" w:hAnsi="Cambria Math"/>
                          </w:rPr>
                          <m:t>Size</m:t>
                        </m:r>
                      </m:e>
                      <m:sub>
                        <m:r>
                          <w:rPr>
                            <w:rFonts w:ascii="Cambria Math" w:hAnsi="Cambria Math"/>
                          </w:rPr>
                          <m:t>Bid</m:t>
                        </m:r>
                      </m:sub>
                    </m:sSub>
                    <m:r>
                      <w:rPr>
                        <w:rFonts w:ascii="Cambria Math" w:hAnsi="Cambria Math"/>
                      </w:rPr>
                      <m:t>-Siz</m:t>
                    </m:r>
                    <m:sSub>
                      <m:sSubPr>
                        <m:ctrlPr>
                          <w:rPr>
                            <w:rFonts w:ascii="Cambria Math" w:hAnsi="Cambria Math"/>
                            <w:i/>
                          </w:rPr>
                        </m:ctrlPr>
                      </m:sSubPr>
                      <m:e>
                        <m:r>
                          <w:rPr>
                            <w:rFonts w:ascii="Cambria Math" w:hAnsi="Cambria Math"/>
                          </w:rPr>
                          <m:t>e</m:t>
                        </m:r>
                      </m:e>
                      <m:sub>
                        <m:r>
                          <w:rPr>
                            <w:rFonts w:ascii="Cambria Math" w:hAnsi="Cambria Math"/>
                          </w:rPr>
                          <m:t>Ask</m:t>
                        </m:r>
                      </m:sub>
                    </m:sSub>
                  </m:num>
                  <m:den>
                    <m:sSub>
                      <m:sSubPr>
                        <m:ctrlPr>
                          <w:rPr>
                            <w:rFonts w:ascii="Cambria Math" w:hAnsi="Cambria Math"/>
                            <w:i/>
                          </w:rPr>
                        </m:ctrlPr>
                      </m:sSubPr>
                      <m:e>
                        <m:r>
                          <w:rPr>
                            <w:rFonts w:ascii="Cambria Math" w:hAnsi="Cambria Math"/>
                          </w:rPr>
                          <m:t>Size</m:t>
                        </m:r>
                      </m:e>
                      <m:sub>
                        <m:r>
                          <w:rPr>
                            <w:rFonts w:ascii="Cambria Math" w:hAnsi="Cambria Math"/>
                          </w:rPr>
                          <m:t>Ask</m:t>
                        </m:r>
                      </m:sub>
                    </m:sSub>
                    <m:r>
                      <w:rPr>
                        <w:rFonts w:ascii="Cambria Math" w:hAnsi="Cambria Math"/>
                      </w:rPr>
                      <m:t>+</m:t>
                    </m:r>
                    <m:sSub>
                      <m:sSubPr>
                        <m:ctrlPr>
                          <w:rPr>
                            <w:rFonts w:ascii="Cambria Math" w:hAnsi="Cambria Math"/>
                            <w:i/>
                          </w:rPr>
                        </m:ctrlPr>
                      </m:sSubPr>
                      <m:e>
                        <m:r>
                          <w:rPr>
                            <w:rFonts w:ascii="Cambria Math" w:hAnsi="Cambria Math"/>
                          </w:rPr>
                          <m:t>Size</m:t>
                        </m:r>
                      </m:e>
                      <m:sub>
                        <m:r>
                          <w:rPr>
                            <w:rFonts w:ascii="Cambria Math" w:hAnsi="Cambria Math"/>
                          </w:rPr>
                          <m:t>Bid</m:t>
                        </m:r>
                      </m:sub>
                    </m:sSub>
                  </m:den>
                </m:f>
              </m:oMath>
            </m:oMathPara>
          </w:p>
        </w:tc>
        <w:tc>
          <w:tcPr>
            <w:tcW w:w="576" w:type="dxa"/>
            <w:vAlign w:val="center"/>
          </w:tcPr>
          <w:p w:rsidR="00FB685D" w:rsidRPr="00CC0BF5" w:rsidRDefault="00FB685D" w:rsidP="00544214">
            <w:pPr>
              <w:pStyle w:val="BodyText"/>
              <w:keepNext/>
              <w:jc w:val="right"/>
              <w:rPr>
                <w:rFonts w:ascii="Cambria Math" w:hAnsi="Cambria Math"/>
              </w:rPr>
            </w:pPr>
            <w:r w:rsidRPr="00CC0BF5">
              <w:rPr>
                <w:rFonts w:ascii="Cambria Math" w:hAnsi="Cambria Math"/>
              </w:rPr>
              <w:t>(</w:t>
            </w:r>
            <w:r w:rsidRPr="00CC0BF5">
              <w:rPr>
                <w:rFonts w:ascii="Cambria Math" w:hAnsi="Cambria Math"/>
              </w:rPr>
              <w:fldChar w:fldCharType="begin"/>
            </w:r>
            <w:r w:rsidRPr="00CC0BF5">
              <w:rPr>
                <w:rFonts w:ascii="Cambria Math" w:hAnsi="Cambria Math"/>
              </w:rPr>
              <w:instrText xml:space="preserve"> SEQ Equations\* Arabic \* MERGEFORMAT </w:instrText>
            </w:r>
            <w:r w:rsidRPr="00CC0BF5">
              <w:rPr>
                <w:rFonts w:ascii="Cambria Math" w:hAnsi="Cambria Math"/>
              </w:rPr>
              <w:fldChar w:fldCharType="separate"/>
            </w:r>
            <w:r w:rsidR="00C67A10">
              <w:rPr>
                <w:rFonts w:ascii="Cambria Math" w:hAnsi="Cambria Math"/>
                <w:noProof/>
              </w:rPr>
              <w:t>9</w:t>
            </w:r>
            <w:r w:rsidRPr="00CC0BF5">
              <w:rPr>
                <w:rFonts w:ascii="Cambria Math" w:hAnsi="Cambria Math"/>
              </w:rPr>
              <w:fldChar w:fldCharType="end"/>
            </w:r>
            <w:r w:rsidRPr="00CC0BF5">
              <w:rPr>
                <w:rFonts w:ascii="Cambria Math" w:hAnsi="Cambria Math"/>
              </w:rPr>
              <w:t>)</w:t>
            </w:r>
          </w:p>
        </w:tc>
      </w:tr>
    </w:tbl>
    <w:p w:rsidR="00DE4AA0" w:rsidRPr="00F81028" w:rsidRDefault="00DE4AA0" w:rsidP="00AE0A57">
      <w:pPr>
        <w:pStyle w:val="BodyText"/>
      </w:pPr>
      <w:r w:rsidRPr="00F81028">
        <w:t xml:space="preserve">The adjusted value estimate is equal to the </w:t>
      </w:r>
      <w:r>
        <w:t xml:space="preserve">unadjusted </w:t>
      </w:r>
      <w:r w:rsidRPr="00F81028">
        <w:t xml:space="preserve">estimate plus an adjustment that is equal to the fee times half the percentage difference between the bid and ask sizes calculated relative to their average value.  This result shows that the adjustment is small when the bid and </w:t>
      </w:r>
      <w:r w:rsidR="00725735">
        <w:t xml:space="preserve">ask </w:t>
      </w:r>
      <w:r w:rsidRPr="00F81028">
        <w:t>sizes are close to each other</w:t>
      </w:r>
      <w:r>
        <w:t xml:space="preserve"> so that </w:t>
      </w:r>
      <m:oMath>
        <m:r>
          <w:rPr>
            <w:rFonts w:ascii="Cambria Math" w:hAnsi="Cambria Math"/>
          </w:rPr>
          <m:t>R</m:t>
        </m:r>
      </m:oMath>
      <w:r>
        <w:t xml:space="preserve"> is near one</w:t>
      </w:r>
      <w:r w:rsidRPr="00F81028">
        <w:t xml:space="preserve">.  However, the adjustment can </w:t>
      </w:r>
      <w:r>
        <w:t xml:space="preserve">grow to </w:t>
      </w:r>
      <m:oMath>
        <m:r>
          <w:rPr>
            <w:rFonts w:ascii="Cambria Math" w:hAnsi="Cambria Math"/>
          </w:rPr>
          <m:t>±c</m:t>
        </m:r>
      </m:oMath>
      <w:r w:rsidRPr="00F81028">
        <w:t xml:space="preserve"> as one or the other size grows large </w:t>
      </w:r>
      <w:r>
        <w:t xml:space="preserve">relative to </w:t>
      </w:r>
      <w:r w:rsidRPr="00F81028">
        <w:t xml:space="preserve">the other.  </w:t>
      </w:r>
    </w:p>
    <w:p w:rsidR="00DE4AA0" w:rsidRDefault="00DE4AA0" w:rsidP="00AE0A57">
      <w:pPr>
        <w:pStyle w:val="BodyText"/>
      </w:pPr>
      <w:r w:rsidRPr="00F81028">
        <w:t xml:space="preserve">Figure 2 illustrates the computation of the adjusted true value estimate when the maker-taker fees paid and rebated are taken into account.  In geometric terms, the adjustment moves the estimate away from the unadjusted estimate in the direction of the smaller quote size because the adjustments to the quoted bid and </w:t>
      </w:r>
      <w:r>
        <w:t>ask</w:t>
      </w:r>
      <w:r w:rsidRPr="00F81028">
        <w:t xml:space="preserve"> prices to obtain the net bid and </w:t>
      </w:r>
      <w:r>
        <w:t xml:space="preserve">ask </w:t>
      </w:r>
      <w:r w:rsidRPr="00F81028">
        <w:t xml:space="preserve">prices are of equal size.  The value estimate moves toward the side with the smaller size because the unadjusted estimate is closer to that side.  </w:t>
      </w:r>
    </w:p>
    <w:p w:rsidR="001100E4" w:rsidRPr="001100E4" w:rsidRDefault="001100E4" w:rsidP="001100E4">
      <w:pPr>
        <w:pStyle w:val="Heading2"/>
      </w:pPr>
      <w:r w:rsidRPr="001100E4">
        <w:t>Implications for Informative Prices</w:t>
      </w:r>
    </w:p>
    <w:p w:rsidR="001100E4" w:rsidRDefault="008C449E" w:rsidP="00AE0A57">
      <w:pPr>
        <w:pStyle w:val="BodyText"/>
      </w:pPr>
      <w:r>
        <w:t xml:space="preserve">If traders indeed consider maker-taker pricing when making trading decisions, the values estimated by the adjusted value estimator should be closer to true values than the values estimated by the unadjusted value estimator.  Furthermore, both estimators should be closer to true value than the midpoint of the spread.  </w:t>
      </w:r>
    </w:p>
    <w:p w:rsidR="000E300F" w:rsidRDefault="00D07688" w:rsidP="00AE0A57">
      <w:pPr>
        <w:pStyle w:val="BodyText"/>
      </w:pPr>
      <w:r>
        <w:t xml:space="preserve">These predictions cannot be tested directly because true values are not known.  But they can be tested indirectly by examining properties that we expect good estimates of true value to have.  </w:t>
      </w:r>
      <w:r w:rsidR="000E300F">
        <w:t xml:space="preserve">In particular, analyses of cross-sectional correlations, time-series variances, and time-series serial </w:t>
      </w:r>
      <w:proofErr w:type="spellStart"/>
      <w:r w:rsidR="000E300F">
        <w:t>covariances</w:t>
      </w:r>
      <w:proofErr w:type="spellEnd"/>
      <w:r w:rsidR="000E300F">
        <w:t xml:space="preserve"> can reveal which estimators are least noisy.  </w:t>
      </w:r>
    </w:p>
    <w:p w:rsidR="00AC018C" w:rsidRDefault="00546259" w:rsidP="00AE0A57">
      <w:pPr>
        <w:pStyle w:val="BodyText"/>
      </w:pPr>
      <w:r>
        <w:t xml:space="preserve">These analyses are all based on statistics computed from changes in estimated values.  These changes will have less noise when estimated from </w:t>
      </w:r>
      <w:r w:rsidR="00D07688">
        <w:t xml:space="preserve">good estimates of true value </w:t>
      </w:r>
      <w:r>
        <w:t xml:space="preserve">then from </w:t>
      </w:r>
      <w:r w:rsidR="00D07688">
        <w:t xml:space="preserve">poor estimates.  </w:t>
      </w:r>
    </w:p>
    <w:p w:rsidR="00AC018C" w:rsidRDefault="00AC018C" w:rsidP="00AE0A57">
      <w:pPr>
        <w:pStyle w:val="BodyText"/>
      </w:pPr>
      <w:r>
        <w:t xml:space="preserve">Stock true-value returns are undoubtedly correlated in cross-section because stock valuations depend on common factors. </w:t>
      </w:r>
      <w:r w:rsidR="004B5BF8">
        <w:t xml:space="preserve"> </w:t>
      </w:r>
      <w:r>
        <w:t>Cross-sectional correlations computed from good estimates of true value thus should be higher than those computed from poor estima</w:t>
      </w:r>
      <w:r w:rsidR="002576F4">
        <w:t>tes.</w:t>
      </w:r>
    </w:p>
    <w:p w:rsidR="0086193E" w:rsidRDefault="0086193E" w:rsidP="0086193E">
      <w:pPr>
        <w:pStyle w:val="BodyText"/>
      </w:pPr>
      <w:r>
        <w:t>In principle, tests of the quality of a value estimate could be based on serial correlation of its estimated value changes.  On the assumption that true value changes are serially uncorrelated, estimators that produce serial correlations that are close to zero may be better than those that produce serial correlations further from zero.  The problem with this test is that it implicitly assumes that true value changes are serially uncorrelated at the high frequenc</w:t>
      </w:r>
      <w:r w:rsidR="00706476">
        <w:t>ies</w:t>
      </w:r>
      <w:r>
        <w:t xml:space="preserve"> observed in microstructure data.  While in perfect markets, true value changes should be serially uncorrelated, most people believe that market microstructure frictions induce positive or negative serial correlations into high frequency data, depending on the nature of the friction.  Accordingly, inferences </w:t>
      </w:r>
      <w:r w:rsidR="008118A7">
        <w:t xml:space="preserve">in this study </w:t>
      </w:r>
      <w:r>
        <w:t xml:space="preserve">based on serial correlations will be problematic.  A similar criticism applies to inferences based on the time-series variances.  </w:t>
      </w:r>
    </w:p>
    <w:p w:rsidR="00AC018C" w:rsidRPr="00B85214" w:rsidRDefault="0012006B" w:rsidP="00AE0A57">
      <w:pPr>
        <w:pStyle w:val="BodyText"/>
        <w:rPr>
          <w:vanish/>
        </w:rPr>
      </w:pPr>
      <w:r w:rsidRPr="00B85214">
        <w:rPr>
          <w:vanish/>
        </w:rPr>
        <w:t>&lt;&lt;</w:t>
      </w:r>
      <w:r w:rsidR="00E75FE0" w:rsidRPr="00B85214">
        <w:rPr>
          <w:vanish/>
        </w:rPr>
        <w:t xml:space="preserve">Finally, </w:t>
      </w:r>
      <w:r w:rsidRPr="00B85214">
        <w:rPr>
          <w:vanish/>
        </w:rPr>
        <w:t xml:space="preserve">varies theories suggest that </w:t>
      </w:r>
      <w:r w:rsidR="00403C09" w:rsidRPr="00B85214">
        <w:rPr>
          <w:vanish/>
        </w:rPr>
        <w:t>squared returns are correlated with trading volumes</w:t>
      </w:r>
      <w:r w:rsidRPr="00B85214">
        <w:rPr>
          <w:vanish/>
        </w:rPr>
        <w:t xml:space="preserve">.&gt;&gt;  </w:t>
      </w:r>
    </w:p>
    <w:p w:rsidR="00DE4AA0" w:rsidRDefault="000F48C5" w:rsidP="002C49E1">
      <w:pPr>
        <w:pStyle w:val="Heading2"/>
        <w:rPr>
          <w:rFonts w:eastAsiaTheme="minorEastAsia"/>
          <w:sz w:val="24"/>
          <w:szCs w:val="24"/>
        </w:rPr>
      </w:pPr>
      <w:r>
        <w:t xml:space="preserve">A </w:t>
      </w:r>
      <w:r w:rsidR="001F7591">
        <w:t>U</w:t>
      </w:r>
      <w:r>
        <w:t xml:space="preserve">seful </w:t>
      </w:r>
      <w:r w:rsidR="001F7591">
        <w:t>S</w:t>
      </w:r>
      <w:r>
        <w:t>urprise</w:t>
      </w:r>
    </w:p>
    <w:p w:rsidR="00DE4AA0" w:rsidRPr="00F81028" w:rsidRDefault="00DE4AA0" w:rsidP="00AE0A57">
      <w:pPr>
        <w:pStyle w:val="BodyText"/>
      </w:pPr>
      <w:r w:rsidRPr="00F81028">
        <w:t>Close consideration of the</w:t>
      </w:r>
      <w:r w:rsidR="001100E4">
        <w:t xml:space="preserve"> adjusted value estimate </w:t>
      </w:r>
      <w:r w:rsidRPr="00F81028">
        <w:t>reveals an unexpected characteristic</w:t>
      </w:r>
      <w:r w:rsidR="008118A7">
        <w:t>:  T</w:t>
      </w:r>
      <w:r w:rsidRPr="00F81028">
        <w:t>he adjusted value estimate</w:t>
      </w:r>
      <w:r w:rsidR="008118A7">
        <w:t xml:space="preserve"> </w:t>
      </w:r>
      <w:r w:rsidRPr="00F81028">
        <w:t xml:space="preserve">can be outside the quoted market.  </w:t>
      </w:r>
      <w:r w:rsidR="008118A7">
        <w:t>T</w:t>
      </w:r>
      <w:r w:rsidRPr="00F81028">
        <w:t xml:space="preserve">he adjusted value estimate will be greater than </w:t>
      </w:r>
      <w:proofErr w:type="gramStart"/>
      <w:r w:rsidRPr="00F81028">
        <w:t>the ask</w:t>
      </w:r>
      <w:proofErr w:type="gramEnd"/>
      <w:r w:rsidRPr="00F81028">
        <w:t xml:space="preserve"> when the bid size is a large multiple of the ask size, and it will be less than the bid when the ask size is a large multiple of the bid size.  </w:t>
      </w:r>
    </w:p>
    <w:p w:rsidR="00DE4AA0" w:rsidRPr="00F81028" w:rsidRDefault="00DE4AA0" w:rsidP="00AE0A57">
      <w:pPr>
        <w:pStyle w:val="BodyText"/>
      </w:pPr>
      <w:r w:rsidRPr="00F81028">
        <w:t xml:space="preserve">This observation in turn reveals a somewhat surprising and important characteristic of the adjusted value estimate:  Within certain ranges of value near the discrete price ticks, the same value estimate may be computed for different markets quoted on either side of a price tick.  For example (illustrated in Figure 3), </w:t>
      </w:r>
      <w:r w:rsidR="008446C6">
        <w:t xml:space="preserve">two market quotes can imply </w:t>
      </w:r>
      <w:r w:rsidRPr="00F81028">
        <w:t>the adjusted value estimate of 2.14</w:t>
      </w:r>
      <w:r w:rsidR="008446C6">
        <w:t xml:space="preserve">:  </w:t>
      </w:r>
      <w:r w:rsidR="00540CAE">
        <w:t>{</w:t>
      </w:r>
      <w:r w:rsidRPr="00F81028">
        <w:t>1 bid for 36, 4 offered at 2</w:t>
      </w:r>
      <w:r w:rsidR="00540CAE">
        <w:t>}</w:t>
      </w:r>
      <w:r w:rsidRPr="00F81028">
        <w:t xml:space="preserve"> and also </w:t>
      </w:r>
      <w:r w:rsidR="00540CAE">
        <w:t>{</w:t>
      </w:r>
      <w:r w:rsidRPr="00F81028">
        <w:t>2 bid for 11, 29 offered at 3</w:t>
      </w:r>
      <w:r w:rsidR="00540CAE">
        <w:t>}</w:t>
      </w:r>
      <w:r w:rsidR="00816E38">
        <w:t xml:space="preserve">.  </w:t>
      </w:r>
      <w:r w:rsidRPr="00F81028">
        <w:t xml:space="preserve">The common 2.14 value estimate is outside of the </w:t>
      </w:r>
      <w:r w:rsidR="00540CAE">
        <w:t>{</w:t>
      </w:r>
      <w:r w:rsidRPr="00F81028">
        <w:t>1</w:t>
      </w:r>
      <w:r w:rsidR="00D10B22">
        <w:t>, 2</w:t>
      </w:r>
      <w:r w:rsidR="00540CAE">
        <w:t>}</w:t>
      </w:r>
      <w:r w:rsidRPr="00F81028">
        <w:t xml:space="preserve"> market and inside the </w:t>
      </w:r>
      <w:r w:rsidR="00540CAE">
        <w:t>{</w:t>
      </w:r>
      <w:r w:rsidRPr="00F81028">
        <w:t>2</w:t>
      </w:r>
      <w:r w:rsidR="00D10B22">
        <w:t xml:space="preserve">, </w:t>
      </w:r>
      <w:r w:rsidRPr="00F81028">
        <w:t>3</w:t>
      </w:r>
      <w:r w:rsidR="00540CAE">
        <w:t>}</w:t>
      </w:r>
      <w:r w:rsidRPr="00F81028">
        <w:t xml:space="preserve"> market</w:t>
      </w:r>
      <w:r w:rsidR="00816E38">
        <w:t xml:space="preserve">.  </w:t>
      </w:r>
    </w:p>
    <w:p w:rsidR="00DE4AA0" w:rsidRPr="00F81028" w:rsidRDefault="00DE4AA0" w:rsidP="00AE0A57">
      <w:pPr>
        <w:pStyle w:val="BodyText"/>
      </w:pPr>
      <w:r w:rsidRPr="00F81028">
        <w:t xml:space="preserve">Note that although the bid and </w:t>
      </w:r>
      <w:r w:rsidR="00725735">
        <w:t xml:space="preserve">ask </w:t>
      </w:r>
      <w:r w:rsidRPr="00F81028">
        <w:t xml:space="preserve">sizes are asymmetric in both markets, the asymmetry is greater in the market for which the estimate is outside of the spread, in this case, the </w:t>
      </w:r>
      <w:r w:rsidR="0068116A">
        <w:t>{</w:t>
      </w:r>
      <w:r w:rsidRPr="00F81028">
        <w:t>1</w:t>
      </w:r>
      <w:r w:rsidR="0068116A">
        <w:t>, 2}</w:t>
      </w:r>
      <w:r w:rsidRPr="00F81028">
        <w:t xml:space="preserve"> market where the ratio of bid size to ask size is 36:4 or 9:1.  In the </w:t>
      </w:r>
      <w:r w:rsidR="0068116A">
        <w:t xml:space="preserve">{2, 3} </w:t>
      </w:r>
      <w:r w:rsidRPr="00F81028">
        <w:t>market, the ratio of ask size to bid size is 29:11, or approximately 2.6:1.</w:t>
      </w:r>
    </w:p>
    <w:p w:rsidR="002310E8" w:rsidRDefault="00F43155" w:rsidP="002310E8">
      <w:pPr>
        <w:pStyle w:val="Heading2"/>
      </w:pPr>
      <w:r>
        <w:t>Implications for Distributions</w:t>
      </w:r>
    </w:p>
    <w:p w:rsidR="00DE4AA0" w:rsidRPr="00F81028" w:rsidRDefault="00DE4AA0" w:rsidP="000042E4">
      <w:pPr>
        <w:pStyle w:val="BodyText"/>
      </w:pPr>
      <w:r w:rsidRPr="00F81028">
        <w:t>This last characteristic of the impact of maker-taker fees and rebates on prices and quantities (overlapping value ranges) is unique to</w:t>
      </w:r>
      <w:r w:rsidR="007F4004">
        <w:t xml:space="preserve"> the</w:t>
      </w:r>
      <w:r w:rsidRPr="00F81028">
        <w:t xml:space="preserve"> maker-taker pricing</w:t>
      </w:r>
      <w:r w:rsidR="007F4004">
        <w:t xml:space="preserve"> scheme</w:t>
      </w:r>
      <w:r w:rsidRPr="00F81028">
        <w:t xml:space="preserve">.  It thus permits empirical identification of the impacts of these fees on the markets.  In particular, this feature of the valuation estimates has strong and unique implications for the unconditional distribution of the </w:t>
      </w:r>
      <w:r w:rsidR="008666D6">
        <w:t>sub-penny</w:t>
      </w:r>
      <w:r w:rsidRPr="00F81028">
        <w:t xml:space="preserve"> part of valuation estimates and for the conditional distribution of these </w:t>
      </w:r>
      <w:r w:rsidR="008666D6">
        <w:t>sub-penny</w:t>
      </w:r>
      <w:r w:rsidRPr="00F81028">
        <w:t xml:space="preserve"> parts given lagged valuation estimates.  </w:t>
      </w:r>
    </w:p>
    <w:p w:rsidR="00B14E5E" w:rsidRDefault="00B14E5E" w:rsidP="00B14E5E">
      <w:pPr>
        <w:pStyle w:val="Heading3"/>
      </w:pPr>
      <w:bookmarkStart w:id="7" w:name="_Ref365171041"/>
      <w:proofErr w:type="spellStart"/>
      <w:r>
        <w:t>U</w:t>
      </w:r>
      <w:r w:rsidRPr="00B14E5E">
        <w:t>nivariate</w:t>
      </w:r>
      <w:proofErr w:type="spellEnd"/>
      <w:r w:rsidRPr="00B14E5E">
        <w:t xml:space="preserve"> </w:t>
      </w:r>
      <w:r>
        <w:t>Implications</w:t>
      </w:r>
      <w:bookmarkEnd w:id="7"/>
    </w:p>
    <w:p w:rsidR="00DE4AA0" w:rsidRDefault="00DE4AA0" w:rsidP="000042E4">
      <w:pPr>
        <w:pStyle w:val="BodyText"/>
      </w:pPr>
      <w:r w:rsidRPr="00F81028">
        <w:t xml:space="preserve">For example, the </w:t>
      </w:r>
      <w:r w:rsidR="008666D6">
        <w:t>sub-penny</w:t>
      </w:r>
      <w:r w:rsidRPr="00F81028">
        <w:t xml:space="preserve"> distribution of true valu</w:t>
      </w:r>
      <w:r w:rsidR="00375BBA">
        <w:t xml:space="preserve">es </w:t>
      </w:r>
      <w:r w:rsidRPr="00F81028">
        <w:t xml:space="preserve">between discrete price ticks presumably is approximately uniform because the ticks are very close together: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0"/>
        <w:gridCol w:w="720"/>
      </w:tblGrid>
      <w:tr w:rsidR="00544214" w:rsidRPr="00CC0BF5" w:rsidTr="00544214">
        <w:tc>
          <w:tcPr>
            <w:tcW w:w="8640" w:type="dxa"/>
            <w:vAlign w:val="center"/>
          </w:tcPr>
          <w:p w:rsidR="00FB685D" w:rsidRPr="00CC0BF5" w:rsidRDefault="00FB685D" w:rsidP="00544214">
            <w:pPr>
              <w:pStyle w:val="BodyText"/>
              <w:keepNext/>
              <w:jc w:val="center"/>
              <w:rPr>
                <w:rFonts w:ascii="Cambria Math" w:hAnsi="Cambria Math"/>
              </w:rPr>
            </w:pPr>
            <m:oMathPara>
              <m:oMath>
                <m:r>
                  <m:rPr>
                    <m:sty m:val="p"/>
                  </m:rPr>
                  <w:rPr>
                    <w:rFonts w:ascii="Cambria Math" w:hAnsi="Cambria Math"/>
                  </w:rPr>
                  <m:t>mod</m:t>
                </m:r>
                <m:d>
                  <m:dPr>
                    <m:ctrlPr>
                      <w:rPr>
                        <w:rFonts w:ascii="Cambria Math" w:hAnsi="Cambria Math"/>
                        <w:i/>
                      </w:rPr>
                    </m:ctrlPr>
                  </m:dPr>
                  <m:e>
                    <m:r>
                      <w:rPr>
                        <w:rFonts w:ascii="Cambria Math" w:hAnsi="Cambria Math"/>
                      </w:rPr>
                      <m:t>V,1¢</m:t>
                    </m:r>
                  </m:e>
                </m:d>
                <m:r>
                  <w:rPr>
                    <w:rFonts w:ascii="Cambria Math" w:hAnsi="Cambria Math"/>
                  </w:rPr>
                  <m:t xml:space="preserve"> ~ </m:t>
                </m:r>
                <m:r>
                  <m:rPr>
                    <m:sty m:val="p"/>
                  </m:rPr>
                  <w:rPr>
                    <w:rFonts w:ascii="Cambria Math" w:hAnsi="Cambria Math"/>
                  </w:rPr>
                  <m:t>uniform</m:t>
                </m:r>
                <m:d>
                  <m:dPr>
                    <m:begChr m:val="["/>
                    <m:endChr m:val="]"/>
                    <m:ctrlPr>
                      <w:rPr>
                        <w:rFonts w:ascii="Cambria Math" w:hAnsi="Cambria Math"/>
                        <w:i/>
                      </w:rPr>
                    </m:ctrlPr>
                  </m:dPr>
                  <m:e>
                    <m:r>
                      <w:rPr>
                        <w:rFonts w:ascii="Cambria Math" w:hAnsi="Cambria Math"/>
                      </w:rPr>
                      <m:t>0,1¢</m:t>
                    </m:r>
                  </m:e>
                </m:d>
              </m:oMath>
            </m:oMathPara>
          </w:p>
        </w:tc>
        <w:tc>
          <w:tcPr>
            <w:tcW w:w="720" w:type="dxa"/>
            <w:vAlign w:val="center"/>
          </w:tcPr>
          <w:p w:rsidR="00FB685D" w:rsidRPr="00CC0BF5" w:rsidRDefault="00FB685D" w:rsidP="00544214">
            <w:pPr>
              <w:pStyle w:val="BodyText"/>
              <w:keepNext/>
              <w:jc w:val="right"/>
              <w:rPr>
                <w:rFonts w:ascii="Cambria Math" w:hAnsi="Cambria Math"/>
              </w:rPr>
            </w:pPr>
            <w:r w:rsidRPr="00CC0BF5">
              <w:rPr>
                <w:rFonts w:ascii="Cambria Math" w:hAnsi="Cambria Math"/>
              </w:rPr>
              <w:t>(</w:t>
            </w:r>
            <w:r w:rsidRPr="00CC0BF5">
              <w:rPr>
                <w:rFonts w:ascii="Cambria Math" w:hAnsi="Cambria Math"/>
              </w:rPr>
              <w:fldChar w:fldCharType="begin"/>
            </w:r>
            <w:r w:rsidRPr="00CC0BF5">
              <w:rPr>
                <w:rFonts w:ascii="Cambria Math" w:hAnsi="Cambria Math"/>
              </w:rPr>
              <w:instrText xml:space="preserve"> SEQ Equations\* Arabic \* MERGEFORMAT </w:instrText>
            </w:r>
            <w:r w:rsidRPr="00CC0BF5">
              <w:rPr>
                <w:rFonts w:ascii="Cambria Math" w:hAnsi="Cambria Math"/>
              </w:rPr>
              <w:fldChar w:fldCharType="separate"/>
            </w:r>
            <w:r w:rsidR="00C67A10">
              <w:rPr>
                <w:rFonts w:ascii="Cambria Math" w:hAnsi="Cambria Math"/>
                <w:noProof/>
              </w:rPr>
              <w:t>10</w:t>
            </w:r>
            <w:r w:rsidRPr="00CC0BF5">
              <w:rPr>
                <w:rFonts w:ascii="Cambria Math" w:hAnsi="Cambria Math"/>
              </w:rPr>
              <w:fldChar w:fldCharType="end"/>
            </w:r>
            <w:r w:rsidRPr="00CC0BF5">
              <w:rPr>
                <w:rFonts w:ascii="Cambria Math" w:hAnsi="Cambria Math"/>
              </w:rPr>
              <w:t>)</w:t>
            </w:r>
          </w:p>
        </w:tc>
      </w:tr>
    </w:tbl>
    <w:p w:rsidR="00DE4AA0" w:rsidRPr="00F81028" w:rsidRDefault="00DE4AA0" w:rsidP="000042E4">
      <w:pPr>
        <w:pStyle w:val="BodyText"/>
      </w:pPr>
      <w:r w:rsidRPr="00F81028">
        <w:t xml:space="preserve">Accordingly, the expected distribution of the </w:t>
      </w:r>
      <w:r w:rsidR="008666D6">
        <w:t>sub-penny</w:t>
      </w:r>
      <w:r w:rsidRPr="00F81028">
        <w:t xml:space="preserve"> component of fee-adjusted value estimates </w:t>
      </w:r>
      <w:r w:rsidR="00F5071F">
        <w:t xml:space="preserve">likewise </w:t>
      </w:r>
      <w:r w:rsidRPr="00F81028">
        <w:t xml:space="preserve">should be uniform.  </w:t>
      </w:r>
    </w:p>
    <w:p w:rsidR="008C3F0B" w:rsidRDefault="00DE4AA0" w:rsidP="000042E4">
      <w:pPr>
        <w:pStyle w:val="BodyText"/>
      </w:pPr>
      <w:r w:rsidRPr="00F81028">
        <w:t xml:space="preserve">Note however, that if </w:t>
      </w:r>
      <w:r w:rsidR="008666D6">
        <w:t>sub-penny</w:t>
      </w:r>
      <w:r w:rsidRPr="00F81028">
        <w:t xml:space="preserve"> values are uniformly distributed between the discrete ticks, the distribution of the </w:t>
      </w:r>
      <w:r w:rsidR="008666D6">
        <w:t>sub-penny</w:t>
      </w:r>
      <w:r w:rsidRPr="00F81028">
        <w:t xml:space="preserve"> component of </w:t>
      </w:r>
      <w:r w:rsidR="000617D9">
        <w:t xml:space="preserve">the </w:t>
      </w:r>
      <w:r w:rsidRPr="00F81028">
        <w:t>unadjusted value estimates will not be uniform.</w:t>
      </w:r>
      <w:r w:rsidR="004B5BF8">
        <w:t xml:space="preserve"> </w:t>
      </w:r>
      <w:r w:rsidRPr="00F81028">
        <w:t xml:space="preserve"> Instead, the density in the tails (values close to the discrete ticks) will be lower than the density in the middle</w:t>
      </w:r>
      <w:r w:rsidR="008C3F0B">
        <w:t xml:space="preserve">.  </w:t>
      </w:r>
    </w:p>
    <w:p w:rsidR="00DE4AA0" w:rsidRDefault="008C3F0B" w:rsidP="000042E4">
      <w:pPr>
        <w:pStyle w:val="BodyText"/>
      </w:pPr>
      <w:r>
        <w:t xml:space="preserve">This result is easiest to understand in markets with one-tick spreads.  In such markets, </w:t>
      </w:r>
      <w:r w:rsidR="00DE4AA0" w:rsidRPr="00F81028">
        <w:t xml:space="preserve">a low or high </w:t>
      </w:r>
      <w:r w:rsidR="008666D6">
        <w:t>sub-penny</w:t>
      </w:r>
      <w:r w:rsidR="00DE4AA0" w:rsidRPr="00F81028">
        <w:t xml:space="preserve"> </w:t>
      </w:r>
      <w:r>
        <w:t xml:space="preserve">adjusted </w:t>
      </w:r>
      <w:r w:rsidR="00DE4AA0" w:rsidRPr="00F81028">
        <w:t xml:space="preserve">value </w:t>
      </w:r>
      <w:r>
        <w:t xml:space="preserve">estimate </w:t>
      </w:r>
      <w:r w:rsidR="00DE4AA0" w:rsidRPr="00F81028">
        <w:t xml:space="preserve">can arise in two different </w:t>
      </w:r>
      <w:r>
        <w:t xml:space="preserve">adjacent </w:t>
      </w:r>
      <w:r w:rsidR="00DE4AA0" w:rsidRPr="00F81028">
        <w:t>markets</w:t>
      </w:r>
      <w:r>
        <w:t>, for example, {1</w:t>
      </w:r>
      <w:proofErr w:type="gramStart"/>
      <w:r>
        <w:t>,2</w:t>
      </w:r>
      <w:proofErr w:type="gramEnd"/>
      <w:r>
        <w:t>} and {2,3},</w:t>
      </w:r>
      <w:r w:rsidR="00DE4AA0" w:rsidRPr="00F81028">
        <w:t xml:space="preserve"> whereas a middling value </w:t>
      </w:r>
      <w:r w:rsidR="000617D9">
        <w:t xml:space="preserve">only </w:t>
      </w:r>
      <w:r w:rsidR="00DE4AA0" w:rsidRPr="00F81028">
        <w:t xml:space="preserve">can </w:t>
      </w:r>
      <w:r w:rsidR="000617D9">
        <w:t>arise in a single market.</w:t>
      </w:r>
      <w:r>
        <w:t xml:space="preserve">  A</w:t>
      </w:r>
      <w:r w:rsidR="00DE4AA0" w:rsidRPr="00F81028">
        <w:t xml:space="preserve">djusted value estimates only can arise in a single market when true value </w:t>
      </w:r>
      <m:oMath>
        <m:r>
          <w:rPr>
            <w:rFonts w:ascii="Cambria Math" w:hAnsi="Cambria Math"/>
          </w:rPr>
          <m:t>V</m:t>
        </m:r>
      </m:oMath>
      <w:r w:rsidR="00DE4AA0" w:rsidRPr="00F81028">
        <w:t xml:space="preserve"> is within the range defined by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0"/>
        <w:gridCol w:w="720"/>
      </w:tblGrid>
      <w:tr w:rsidR="00544214" w:rsidRPr="00CC0BF5" w:rsidTr="00544214">
        <w:tc>
          <w:tcPr>
            <w:tcW w:w="8640" w:type="dxa"/>
            <w:vAlign w:val="center"/>
          </w:tcPr>
          <w:p w:rsidR="00FB685D" w:rsidRPr="00CC0BF5" w:rsidRDefault="00FB685D" w:rsidP="00544214">
            <w:pPr>
              <w:pStyle w:val="BodyText"/>
              <w:keepNext/>
              <w:jc w:val="center"/>
              <w:rPr>
                <w:rFonts w:ascii="Cambria Math" w:hAnsi="Cambria Math"/>
              </w:rPr>
            </w:pPr>
            <m:oMathPara>
              <m:oMath>
                <m:r>
                  <w:rPr>
                    <w:rFonts w:ascii="Cambria Math" w:hAnsi="Cambria Math"/>
                  </w:rPr>
                  <m:t>Bid+c≤V≤Ask-c</m:t>
                </m:r>
              </m:oMath>
            </m:oMathPara>
          </w:p>
        </w:tc>
        <w:tc>
          <w:tcPr>
            <w:tcW w:w="720" w:type="dxa"/>
            <w:vAlign w:val="center"/>
          </w:tcPr>
          <w:p w:rsidR="00FB685D" w:rsidRPr="00CC0BF5" w:rsidRDefault="00FB685D" w:rsidP="00544214">
            <w:pPr>
              <w:pStyle w:val="BodyText"/>
              <w:keepNext/>
              <w:jc w:val="right"/>
              <w:rPr>
                <w:rFonts w:ascii="Cambria Math" w:hAnsi="Cambria Math"/>
              </w:rPr>
            </w:pPr>
            <w:bookmarkStart w:id="8" w:name="Bounds"/>
            <w:r w:rsidRPr="00CC0BF5">
              <w:rPr>
                <w:rFonts w:ascii="Cambria Math" w:hAnsi="Cambria Math"/>
              </w:rPr>
              <w:t>(</w:t>
            </w:r>
            <w:r w:rsidRPr="00CC0BF5">
              <w:rPr>
                <w:rFonts w:ascii="Cambria Math" w:hAnsi="Cambria Math"/>
              </w:rPr>
              <w:fldChar w:fldCharType="begin"/>
            </w:r>
            <w:r w:rsidRPr="00CC0BF5">
              <w:rPr>
                <w:rFonts w:ascii="Cambria Math" w:hAnsi="Cambria Math"/>
              </w:rPr>
              <w:instrText xml:space="preserve"> SEQ Equations\* Arabic \* MERGEFORMAT </w:instrText>
            </w:r>
            <w:r w:rsidRPr="00CC0BF5">
              <w:rPr>
                <w:rFonts w:ascii="Cambria Math" w:hAnsi="Cambria Math"/>
              </w:rPr>
              <w:fldChar w:fldCharType="separate"/>
            </w:r>
            <w:r w:rsidR="00C67A10">
              <w:rPr>
                <w:rFonts w:ascii="Cambria Math" w:hAnsi="Cambria Math"/>
                <w:noProof/>
              </w:rPr>
              <w:t>11</w:t>
            </w:r>
            <w:r w:rsidRPr="00CC0BF5">
              <w:rPr>
                <w:rFonts w:ascii="Cambria Math" w:hAnsi="Cambria Math"/>
              </w:rPr>
              <w:fldChar w:fldCharType="end"/>
            </w:r>
            <w:r w:rsidRPr="00CC0BF5">
              <w:rPr>
                <w:rFonts w:ascii="Cambria Math" w:hAnsi="Cambria Math"/>
              </w:rPr>
              <w:t>)</w:t>
            </w:r>
            <w:bookmarkEnd w:id="8"/>
          </w:p>
        </w:tc>
      </w:tr>
    </w:tbl>
    <w:p w:rsidR="00DE4AA0" w:rsidRDefault="00DE4AA0" w:rsidP="000042E4">
      <w:pPr>
        <w:pStyle w:val="BodyText"/>
      </w:pPr>
      <w:proofErr w:type="gramStart"/>
      <w:r w:rsidRPr="00F81028">
        <w:t>or</w:t>
      </w:r>
      <w:proofErr w:type="gramEnd"/>
      <w:r w:rsidRPr="00F81028">
        <w:t xml:space="preserve"> </w:t>
      </w:r>
      <w:r w:rsidR="00D054AF">
        <w:t xml:space="preserve">equivalently,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0"/>
        <w:gridCol w:w="720"/>
      </w:tblGrid>
      <w:tr w:rsidR="00544214" w:rsidRPr="00CC0BF5" w:rsidTr="00544214">
        <w:tc>
          <w:tcPr>
            <w:tcW w:w="8640" w:type="dxa"/>
            <w:vAlign w:val="center"/>
          </w:tcPr>
          <w:p w:rsidR="00FB685D" w:rsidRPr="00CC0BF5" w:rsidRDefault="00544214" w:rsidP="00544214">
            <w:pPr>
              <w:pStyle w:val="BodyText"/>
              <w:keepNext/>
              <w:jc w:val="center"/>
              <w:rPr>
                <w:rFonts w:ascii="Cambria Math" w:hAnsi="Cambria Math"/>
              </w:rPr>
            </w:pPr>
            <m:oMathPara>
              <m:oMath>
                <m:r>
                  <w:rPr>
                    <w:rFonts w:ascii="Cambria Math" w:hAnsi="Cambria Math"/>
                  </w:rPr>
                  <m:t>M-</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+c≤V≤M+</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-c</m:t>
                </m:r>
              </m:oMath>
            </m:oMathPara>
          </w:p>
        </w:tc>
        <w:tc>
          <w:tcPr>
            <w:tcW w:w="720" w:type="dxa"/>
            <w:vAlign w:val="center"/>
          </w:tcPr>
          <w:p w:rsidR="00FB685D" w:rsidRPr="00CC0BF5" w:rsidRDefault="00FB685D" w:rsidP="00544214">
            <w:pPr>
              <w:pStyle w:val="BodyText"/>
              <w:keepNext/>
              <w:jc w:val="right"/>
              <w:rPr>
                <w:rFonts w:ascii="Cambria Math" w:hAnsi="Cambria Math"/>
              </w:rPr>
            </w:pPr>
            <w:r w:rsidRPr="00CC0BF5">
              <w:rPr>
                <w:rFonts w:ascii="Cambria Math" w:hAnsi="Cambria Math"/>
              </w:rPr>
              <w:t>(</w:t>
            </w:r>
            <w:r w:rsidRPr="00CC0BF5">
              <w:rPr>
                <w:rFonts w:ascii="Cambria Math" w:hAnsi="Cambria Math"/>
              </w:rPr>
              <w:fldChar w:fldCharType="begin"/>
            </w:r>
            <w:r w:rsidRPr="00CC0BF5">
              <w:rPr>
                <w:rFonts w:ascii="Cambria Math" w:hAnsi="Cambria Math"/>
              </w:rPr>
              <w:instrText xml:space="preserve"> SEQ Equations\* Arabic \* MERGEFORMAT </w:instrText>
            </w:r>
            <w:r w:rsidRPr="00CC0BF5">
              <w:rPr>
                <w:rFonts w:ascii="Cambria Math" w:hAnsi="Cambria Math"/>
              </w:rPr>
              <w:fldChar w:fldCharType="separate"/>
            </w:r>
            <w:r w:rsidR="00C67A10">
              <w:rPr>
                <w:rFonts w:ascii="Cambria Math" w:hAnsi="Cambria Math"/>
                <w:noProof/>
              </w:rPr>
              <w:t>12</w:t>
            </w:r>
            <w:r w:rsidRPr="00CC0BF5">
              <w:rPr>
                <w:rFonts w:ascii="Cambria Math" w:hAnsi="Cambria Math"/>
              </w:rPr>
              <w:fldChar w:fldCharType="end"/>
            </w:r>
            <w:r w:rsidRPr="00CC0BF5">
              <w:rPr>
                <w:rFonts w:ascii="Cambria Math" w:hAnsi="Cambria Math"/>
              </w:rPr>
              <w:t>)</w:t>
            </w:r>
          </w:p>
        </w:tc>
      </w:tr>
    </w:tbl>
    <w:p w:rsidR="00802661" w:rsidRDefault="00DE4AA0" w:rsidP="000042E4">
      <w:pPr>
        <w:pStyle w:val="BodyText"/>
      </w:pPr>
      <w:proofErr w:type="gramStart"/>
      <w:r w:rsidRPr="00F81028">
        <w:t>since</w:t>
      </w:r>
      <w:proofErr w:type="gramEnd"/>
      <w:r w:rsidRPr="00F81028">
        <w:t xml:space="preserve"> the lowest true value that can be expressed in </w:t>
      </w:r>
      <w:r w:rsidR="0022032E">
        <w:t xml:space="preserve">the </w:t>
      </w:r>
      <w:r w:rsidRPr="00F81028">
        <w:t xml:space="preserve">one tick higher </w:t>
      </w:r>
      <w:r w:rsidR="0022032E">
        <w:t xml:space="preserve">market </w:t>
      </w:r>
      <m:oMath>
        <m:r>
          <w:rPr>
            <w:rFonts w:ascii="Cambria Math" w:hAnsi="Cambria Math"/>
          </w:rPr>
          <m:t>{Bid+1,Ask+1}</m:t>
        </m:r>
      </m:oMath>
      <w:r w:rsidR="0022032E">
        <w:t xml:space="preserve"> </w:t>
      </w:r>
      <w:r w:rsidRPr="00F81028">
        <w:t xml:space="preserve">is </w:t>
      </w:r>
      <m:oMath>
        <m:r>
          <w:rPr>
            <w:rFonts w:ascii="Cambria Math" w:hAnsi="Cambria Math"/>
          </w:rPr>
          <m:t>Ask-c</m:t>
        </m:r>
      </m:oMath>
      <w:r w:rsidRPr="00F81028">
        <w:t xml:space="preserve"> and the highest true value that can be expressed in </w:t>
      </w:r>
      <w:r w:rsidR="0022032E">
        <w:t xml:space="preserve">the </w:t>
      </w:r>
      <w:r w:rsidRPr="00F81028">
        <w:t xml:space="preserve">one tick lower </w:t>
      </w:r>
      <w:r w:rsidR="0022032E">
        <w:t xml:space="preserve">market </w:t>
      </w:r>
      <m:oMath>
        <m:r>
          <w:rPr>
            <w:rFonts w:ascii="Cambria Math" w:hAnsi="Cambria Math"/>
          </w:rPr>
          <m:t>{Bid-1,Ask-1}</m:t>
        </m:r>
      </m:oMath>
      <w:r w:rsidR="0022032E">
        <w:t xml:space="preserve"> </w:t>
      </w:r>
      <w:r w:rsidRPr="00F81028">
        <w:t xml:space="preserve">is </w:t>
      </w:r>
      <m:oMath>
        <m:r>
          <w:rPr>
            <w:rFonts w:ascii="Cambria Math" w:hAnsi="Cambria Math"/>
          </w:rPr>
          <m:t>Bid-c</m:t>
        </m:r>
      </m:oMath>
      <w:r w:rsidRPr="00F81028">
        <w:t>.  Within these bounds</w:t>
      </w:r>
      <w:r w:rsidR="002B1D62">
        <w:t xml:space="preserve"> </w:t>
      </w:r>
      <w:proofErr w:type="gramStart"/>
      <w:r w:rsidR="002B1D62">
        <w:t xml:space="preserve">for </w:t>
      </w:r>
      <w:proofErr w:type="gramEnd"/>
      <m:oMath>
        <m:r>
          <w:rPr>
            <w:rFonts w:ascii="Cambria Math" w:hAnsi="Cambria Math"/>
          </w:rPr>
          <m:t>V</m:t>
        </m:r>
      </m:oMath>
      <w:r w:rsidRPr="00F81028">
        <w:t xml:space="preserve">, the unadjusted </w:t>
      </w:r>
      <w:r w:rsidR="002B1D62">
        <w:t xml:space="preserve">value </w:t>
      </w:r>
      <w:r w:rsidRPr="00F81028">
        <w:t>estimates range over a narrower range</w:t>
      </w:r>
      <w:r w:rsidR="002B1D62">
        <w:t xml:space="preserve"> than do the adjusted value estimates</w:t>
      </w:r>
      <w:r w:rsidRPr="00F81028">
        <w:t xml:space="preserve"> because they are always closer to the midpoint then </w:t>
      </w:r>
      <w:r w:rsidR="00AA4208">
        <w:t xml:space="preserve">are </w:t>
      </w:r>
      <w:r w:rsidRPr="00F81028">
        <w:t>the</w:t>
      </w:r>
      <w:r w:rsidR="00AA4208">
        <w:t>ir</w:t>
      </w:r>
      <w:r w:rsidRPr="00F81028">
        <w:t xml:space="preserve"> associated true value</w:t>
      </w:r>
      <w:r w:rsidR="00AA4208">
        <w:t>s</w:t>
      </w:r>
      <w:r w:rsidRPr="00F81028">
        <w:t xml:space="preserve">.  </w:t>
      </w:r>
      <w:r w:rsidR="00AA4208">
        <w:t>Since t</w:t>
      </w:r>
      <w:r w:rsidRPr="00F81028">
        <w:t>he integrated densities for the two variables in their respective ranges must be the same</w:t>
      </w:r>
      <w:r w:rsidR="004465F5">
        <w:t xml:space="preserve"> because they both map one-to-one to </w:t>
      </w:r>
      <m:oMath>
        <m:r>
          <w:rPr>
            <w:rFonts w:ascii="Cambria Math" w:hAnsi="Cambria Math"/>
          </w:rPr>
          <m:t>V</m:t>
        </m:r>
      </m:oMath>
      <w:r w:rsidR="00D054AF">
        <w:t xml:space="preserve"> </w:t>
      </w:r>
      <w:r w:rsidR="004465F5">
        <w:t>in this region</w:t>
      </w:r>
      <w:r w:rsidR="00AA4208">
        <w:t xml:space="preserve">, </w:t>
      </w:r>
      <w:r w:rsidRPr="00F81028">
        <w:t xml:space="preserve">the average density in this middle range of </w:t>
      </w:r>
      <m:oMath>
        <m:acc>
          <m:accPr>
            <m:ctrlPr>
              <w:rPr>
                <w:rFonts w:ascii="Cambria Math" w:hAnsi="Cambria Math"/>
                <w:i/>
              </w:rPr>
            </m:ctrlPr>
          </m:accPr>
          <m:e>
            <m:r>
              <w:rPr>
                <w:rFonts w:ascii="Cambria Math" w:hAnsi="Cambria Math"/>
              </w:rPr>
              <m:t>V</m:t>
            </m:r>
          </m:e>
        </m:acc>
      </m:oMath>
      <w:r w:rsidRPr="00F81028">
        <w:t xml:space="preserve"> must be greater than the </w:t>
      </w:r>
      <w:r w:rsidR="00AA4208">
        <w:t xml:space="preserve">assumed </w:t>
      </w:r>
      <w:r w:rsidRPr="00F81028">
        <w:t>uniform density for</w:t>
      </w:r>
      <w:r w:rsidR="00D054AF">
        <w:t xml:space="preserve"> </w:t>
      </w:r>
      <m:oMath>
        <m:r>
          <w:rPr>
            <w:rFonts w:ascii="Cambria Math" w:hAnsi="Cambria Math"/>
          </w:rPr>
          <m:t>V</m:t>
        </m:r>
      </m:oMath>
      <w:r w:rsidR="00D054AF">
        <w:t xml:space="preserve"> within th</w:t>
      </w:r>
      <w:r w:rsidR="003D73AA">
        <w:t>is</w:t>
      </w:r>
      <w:r w:rsidR="00D054AF">
        <w:t xml:space="preserve"> region. </w:t>
      </w:r>
      <w:r w:rsidRPr="00F81028">
        <w:t xml:space="preserve"> Thus </w:t>
      </w:r>
      <m:oMath>
        <m:r>
          <m:rPr>
            <m:sty m:val="p"/>
          </m:rPr>
          <w:rPr>
            <w:rFonts w:ascii="Cambria Math" w:hAnsi="Cambria Math"/>
          </w:rPr>
          <m:t>mod</m:t>
        </m:r>
        <m:d>
          <m:dPr>
            <m:ctrlPr>
              <w:rPr>
                <w:rFonts w:ascii="Cambria Math" w:hAnsi="Cambria Math"/>
                <w:i/>
              </w:rPr>
            </m:ctrlPr>
          </m:dPr>
          <m:e>
            <m:acc>
              <m:accPr>
                <m:ctrlPr>
                  <w:rPr>
                    <w:rFonts w:ascii="Cambria Math" w:hAnsi="Cambria Math"/>
                    <w:i/>
                  </w:rPr>
                </m:ctrlPr>
              </m:accPr>
              <m:e>
                <m:r>
                  <w:rPr>
                    <w:rFonts w:ascii="Cambria Math" w:hAnsi="Cambria Math"/>
                  </w:rPr>
                  <m:t>V</m:t>
                </m:r>
              </m:e>
            </m:acc>
            <m:r>
              <w:rPr>
                <w:rFonts w:ascii="Cambria Math" w:hAnsi="Cambria Math"/>
              </w:rPr>
              <m:t>,1¢</m:t>
            </m:r>
          </m:e>
        </m:d>
      </m:oMath>
      <w:r w:rsidRPr="00F81028">
        <w:t xml:space="preserve"> cannot be uniformly distributed over its entire </w:t>
      </w:r>
      <w:r w:rsidR="000F03B9">
        <w:t>[0</w:t>
      </w:r>
      <w:r w:rsidR="000F03B9">
        <w:rPr>
          <w:rFonts w:cstheme="minorHAnsi"/>
        </w:rPr>
        <w:t>¢</w:t>
      </w:r>
      <w:r w:rsidR="000F03B9">
        <w:t>, 1</w:t>
      </w:r>
      <w:r w:rsidR="000F03B9">
        <w:rPr>
          <w:rFonts w:cstheme="minorHAnsi"/>
        </w:rPr>
        <w:t>¢</w:t>
      </w:r>
      <w:r w:rsidR="000F03B9">
        <w:t xml:space="preserve">) </w:t>
      </w:r>
      <w:r w:rsidRPr="00F81028">
        <w:t xml:space="preserve">range.  It will have greater density near the quote midpoint than near its tails.  </w:t>
      </w:r>
    </w:p>
    <w:p w:rsidR="003D7070" w:rsidRDefault="003D7070" w:rsidP="000042E4">
      <w:pPr>
        <w:pStyle w:val="BodyText"/>
      </w:pPr>
      <w:r w:rsidRPr="00F81028">
        <w:t>If no other processes affect the distribution of the unadjusted estimates, they should be uniformly distributed in this middle range because they are simply a linear contraction towards the quote midpoint of the true values, which we presume are uniformly distributed</w:t>
      </w:r>
      <w:r w:rsidR="004A0B01">
        <w:t xml:space="preserve"> between price ticks</w:t>
      </w:r>
      <w:r w:rsidRPr="00F81028">
        <w:t xml:space="preserve">.  </w:t>
      </w:r>
      <w:r w:rsidR="003D73AA">
        <w:t xml:space="preserve">In practice, many other processes also may affect the distribution of unadjusted quotes so a uniform distribution in this range may not be observed.  </w:t>
      </w:r>
    </w:p>
    <w:p w:rsidR="00091302" w:rsidRDefault="00091302" w:rsidP="00091302">
      <w:pPr>
        <w:pStyle w:val="BodyText"/>
      </w:pPr>
      <w:r>
        <w:t xml:space="preserve">The bounds in equation </w:t>
      </w:r>
      <w:r w:rsidR="00122354">
        <w:t xml:space="preserve">(11) </w:t>
      </w:r>
      <w:r>
        <w:t xml:space="preserve">can be expressed in terms of </w:t>
      </w:r>
      <m:oMath>
        <m:acc>
          <m:accPr>
            <m:ctrlPr>
              <w:rPr>
                <w:rFonts w:ascii="Cambria Math" w:hAnsi="Cambria Math"/>
                <w:i/>
              </w:rPr>
            </m:ctrlPr>
          </m:accPr>
          <m:e>
            <m:r>
              <w:rPr>
                <w:rFonts w:ascii="Cambria Math" w:hAnsi="Cambria Math"/>
              </w:rPr>
              <m:t>V</m:t>
            </m:r>
          </m:e>
        </m:acc>
      </m:oMath>
      <w:r>
        <w:t xml:space="preserve"> by deriving an expression for </w:t>
      </w:r>
      <m:oMath>
        <m:acc>
          <m:accPr>
            <m:ctrlPr>
              <w:rPr>
                <w:rFonts w:ascii="Cambria Math" w:hAnsi="Cambria Math"/>
                <w:i/>
              </w:rPr>
            </m:ctrlPr>
          </m:accPr>
          <m:e>
            <m:r>
              <w:rPr>
                <w:rFonts w:ascii="Cambria Math" w:hAnsi="Cambria Math"/>
              </w:rPr>
              <m:t>V</m:t>
            </m:r>
          </m:e>
        </m:acc>
      </m:oMath>
      <w:r>
        <w:t xml:space="preserve"> as a function of</w:t>
      </w:r>
      <m:oMath>
        <m:r>
          <w:rPr>
            <w:rFonts w:ascii="Cambria Math" w:hAnsi="Cambria Math"/>
          </w:rPr>
          <m:t xml:space="preserve"> V</m:t>
        </m:r>
      </m:oMath>
      <w:r>
        <w:t>.  This in turn requires an expression for the quotation size ratio</w:t>
      </w:r>
      <w:proofErr w:type="gramStart"/>
      <w:r>
        <w:t xml:space="preserve">, </w:t>
      </w:r>
      <w:proofErr w:type="gramEnd"/>
      <m:oMath>
        <m:r>
          <w:rPr>
            <w:rFonts w:ascii="Cambria Math" w:hAnsi="Cambria Math"/>
          </w:rPr>
          <m:t>R</m:t>
        </m:r>
      </m:oMath>
      <w:r>
        <w:t xml:space="preserve">, as a function of </w:t>
      </w:r>
      <m:oMath>
        <m:r>
          <w:rPr>
            <w:rFonts w:ascii="Cambria Math" w:hAnsi="Cambria Math"/>
          </w:rPr>
          <m:t>V</m:t>
        </m:r>
      </m:oMath>
      <w:r>
        <w:t xml:space="preserve">.  To derive the second expression, for </w:t>
      </w:r>
      <m:oMath>
        <m:r>
          <w:rPr>
            <w:rFonts w:ascii="Cambria Math" w:hAnsi="Cambria Math"/>
          </w:rPr>
          <m:t>Bid-c≤V≤Ask+c,</m:t>
        </m:r>
      </m:oMath>
      <w:r>
        <w:t xml:space="preserve"> solve equation </w:t>
      </w:r>
      <w:r w:rsidR="003B291D">
        <w:t xml:space="preserve">(8) </w:t>
      </w:r>
      <w:r>
        <w:t xml:space="preserve">under the assumption that </w:t>
      </w:r>
      <m:oMath>
        <m:sSup>
          <m:sSupPr>
            <m:ctrlPr>
              <w:rPr>
                <w:rFonts w:ascii="Cambria Math" w:hAnsi="Cambria Math"/>
                <w:i/>
              </w:rPr>
            </m:ctrlPr>
          </m:sSupPr>
          <m:e>
            <m:acc>
              <m:accPr>
                <m:ctrlPr>
                  <w:rPr>
                    <w:rFonts w:ascii="Cambria Math" w:hAnsi="Cambria Math"/>
                    <w:i/>
                  </w:rPr>
                </m:ctrlPr>
              </m:accPr>
              <m:e>
                <m:r>
                  <w:rPr>
                    <w:rFonts w:ascii="Cambria Math" w:hAnsi="Cambria Math"/>
                  </w:rPr>
                  <m:t>V</m:t>
                </m:r>
              </m:e>
            </m:acc>
          </m:e>
          <m:sup>
            <m:r>
              <w:rPr>
                <w:rFonts w:ascii="Cambria Math" w:hAnsi="Cambria Math"/>
              </w:rPr>
              <m:t>a</m:t>
            </m:r>
          </m:sup>
        </m:sSup>
        <m:r>
          <w:rPr>
            <w:rFonts w:ascii="Cambria Math" w:hAnsi="Cambria Math"/>
          </w:rPr>
          <m:t>=V</m:t>
        </m:r>
      </m:oMath>
      <w:r>
        <w:t xml:space="preserve"> to obtain the </w:t>
      </w:r>
      <m:oMath>
        <m:r>
          <w:rPr>
            <w:rFonts w:ascii="Cambria Math" w:hAnsi="Cambria Math"/>
          </w:rPr>
          <m:t>R</m:t>
        </m:r>
      </m:oMath>
      <w:r>
        <w:rPr>
          <w:iCs/>
        </w:rPr>
        <w:t xml:space="preserve"> implied by a true value </w:t>
      </w:r>
      <m:oMath>
        <m:r>
          <w:rPr>
            <w:rFonts w:ascii="Cambria Math" w:hAnsi="Cambria Math"/>
          </w:rPr>
          <m:t>V</m:t>
        </m:r>
      </m:oMath>
      <w:r>
        <w:t xml:space="preserve"> for a given </w:t>
      </w:r>
      <m:oMath>
        <m:r>
          <w:rPr>
            <w:rFonts w:ascii="Cambria Math" w:hAnsi="Cambria Math"/>
          </w:rPr>
          <m:t>M</m:t>
        </m:r>
      </m:oMath>
      <w:r>
        <w:t xml:space="preserve"> </w:t>
      </w:r>
      <w:proofErr w:type="gramStart"/>
      <w:r>
        <w:t xml:space="preserve">and </w:t>
      </w:r>
      <w:proofErr w:type="gramEnd"/>
      <m:oMath>
        <m:r>
          <w:rPr>
            <w:rFonts w:ascii="Cambria Math" w:hAnsi="Cambria Math"/>
          </w:rPr>
          <m:t>S</m:t>
        </m:r>
      </m:oMath>
      <w:r>
        <w:t xml:space="preserve">.  </w:t>
      </w:r>
      <w:commentRangeStart w:id="9"/>
      <w:r>
        <w:t>It is</w:t>
      </w:r>
      <w:commentRangeEnd w:id="9"/>
      <w:r>
        <w:rPr>
          <w:rStyle w:val="CommentReference"/>
        </w:rPr>
        <w:commentReference w:id="9"/>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0"/>
        <w:gridCol w:w="720"/>
      </w:tblGrid>
      <w:tr w:rsidR="00544214" w:rsidRPr="00CC0BF5" w:rsidTr="00544214">
        <w:tc>
          <w:tcPr>
            <w:tcW w:w="8640" w:type="dxa"/>
            <w:vAlign w:val="center"/>
          </w:tcPr>
          <w:p w:rsidR="00544214" w:rsidRPr="00CC0BF5" w:rsidRDefault="00544214" w:rsidP="00544214">
            <w:pPr>
              <w:pStyle w:val="BodyText"/>
              <w:keepNext/>
              <w:jc w:val="center"/>
              <w:rPr>
                <w:rFonts w:ascii="Cambria Math" w:hAnsi="Cambria Math"/>
              </w:rPr>
            </w:pPr>
            <m:oMathPara>
              <m:oMath>
                <m:r>
                  <w:rPr>
                    <w:rFonts w:ascii="Cambria Math" w:hAnsi="Cambria Math"/>
                  </w:rPr>
                  <m:t>R=</m:t>
                </m:r>
                <m:f>
                  <m:fPr>
                    <m:ctrlPr>
                      <w:rPr>
                        <w:rFonts w:ascii="Cambria Math" w:hAnsi="Cambria Math"/>
                        <w:i/>
                      </w:rPr>
                    </m:ctrlPr>
                  </m:fPr>
                  <m:num>
                    <m:r>
                      <w:rPr>
                        <w:rFonts w:ascii="Cambria Math" w:hAnsi="Cambria Math"/>
                      </w:rPr>
                      <m:t>V-M+</m:t>
                    </m:r>
                    <m:f>
                      <m:fPr>
                        <m:ctrlPr>
                          <w:rPr>
                            <w:rFonts w:ascii="Cambria Math" w:hAnsi="Cambria Math"/>
                            <w:i/>
                          </w:rPr>
                        </m:ctrlPr>
                      </m:fPr>
                      <m:num>
                        <m:r>
                          <w:rPr>
                            <w:rFonts w:ascii="Cambria Math" w:hAnsi="Cambria Math"/>
                          </w:rPr>
                          <m:t>S</m:t>
                        </m:r>
                      </m:num>
                      <m:den>
                        <m:r>
                          <w:rPr>
                            <w:rFonts w:ascii="Cambria Math" w:hAnsi="Cambria Math"/>
                          </w:rPr>
                          <m:t>2</m:t>
                        </m:r>
                      </m:den>
                    </m:f>
                    <m:r>
                      <w:rPr>
                        <w:rFonts w:ascii="Cambria Math" w:hAnsi="Cambria Math"/>
                      </w:rPr>
                      <m:t>+c</m:t>
                    </m:r>
                  </m:num>
                  <m:den>
                    <m:f>
                      <m:fPr>
                        <m:ctrlPr>
                          <w:rPr>
                            <w:rFonts w:ascii="Cambria Math" w:hAnsi="Cambria Math"/>
                            <w:i/>
                          </w:rPr>
                        </m:ctrlPr>
                      </m:fPr>
                      <m:num>
                        <m:r>
                          <w:rPr>
                            <w:rFonts w:ascii="Cambria Math" w:hAnsi="Cambria Math"/>
                          </w:rPr>
                          <m:t>S</m:t>
                        </m:r>
                      </m:num>
                      <m:den>
                        <m:r>
                          <w:rPr>
                            <w:rFonts w:ascii="Cambria Math" w:hAnsi="Cambria Math"/>
                          </w:rPr>
                          <m:t>2</m:t>
                        </m:r>
                      </m:den>
                    </m:f>
                    <m:r>
                      <w:rPr>
                        <w:rFonts w:ascii="Cambria Math" w:hAnsi="Cambria Math"/>
                      </w:rPr>
                      <m:t>+c-</m:t>
                    </m:r>
                    <m:d>
                      <m:dPr>
                        <m:ctrlPr>
                          <w:rPr>
                            <w:rFonts w:ascii="Cambria Math" w:hAnsi="Cambria Math"/>
                            <w:i/>
                          </w:rPr>
                        </m:ctrlPr>
                      </m:dPr>
                      <m:e>
                        <m:r>
                          <w:rPr>
                            <w:rFonts w:ascii="Cambria Math" w:hAnsi="Cambria Math"/>
                          </w:rPr>
                          <m:t>V-M</m:t>
                        </m:r>
                      </m:e>
                    </m:d>
                  </m:den>
                </m:f>
                <m:r>
                  <w:rPr>
                    <w:rFonts w:ascii="Cambria Math" w:hAnsi="Cambria Math"/>
                  </w:rPr>
                  <m:t xml:space="preserve"> .</m:t>
                </m:r>
              </m:oMath>
            </m:oMathPara>
          </w:p>
        </w:tc>
        <w:tc>
          <w:tcPr>
            <w:tcW w:w="720" w:type="dxa"/>
            <w:vAlign w:val="center"/>
          </w:tcPr>
          <w:p w:rsidR="00544214" w:rsidRPr="00CC0BF5" w:rsidRDefault="00544214" w:rsidP="00544214">
            <w:pPr>
              <w:pStyle w:val="BodyText"/>
              <w:keepNext/>
              <w:jc w:val="right"/>
              <w:rPr>
                <w:rFonts w:ascii="Cambria Math" w:hAnsi="Cambria Math"/>
              </w:rPr>
            </w:pPr>
            <w:r w:rsidRPr="00CC0BF5">
              <w:rPr>
                <w:rFonts w:ascii="Cambria Math" w:hAnsi="Cambria Math"/>
              </w:rPr>
              <w:t>(</w:t>
            </w:r>
            <w:r w:rsidRPr="00CC0BF5">
              <w:rPr>
                <w:rFonts w:ascii="Cambria Math" w:hAnsi="Cambria Math"/>
              </w:rPr>
              <w:fldChar w:fldCharType="begin"/>
            </w:r>
            <w:r w:rsidRPr="00CC0BF5">
              <w:rPr>
                <w:rFonts w:ascii="Cambria Math" w:hAnsi="Cambria Math"/>
              </w:rPr>
              <w:instrText xml:space="preserve"> SEQ Equations\* Arabic \* MERGEFORMAT </w:instrText>
            </w:r>
            <w:r w:rsidRPr="00CC0BF5">
              <w:rPr>
                <w:rFonts w:ascii="Cambria Math" w:hAnsi="Cambria Math"/>
              </w:rPr>
              <w:fldChar w:fldCharType="separate"/>
            </w:r>
            <w:r w:rsidR="00C67A10">
              <w:rPr>
                <w:rFonts w:ascii="Cambria Math" w:hAnsi="Cambria Math"/>
                <w:noProof/>
              </w:rPr>
              <w:t>13</w:t>
            </w:r>
            <w:r w:rsidRPr="00CC0BF5">
              <w:rPr>
                <w:rFonts w:ascii="Cambria Math" w:hAnsi="Cambria Math"/>
              </w:rPr>
              <w:fldChar w:fldCharType="end"/>
            </w:r>
            <w:r w:rsidRPr="00CC0BF5">
              <w:rPr>
                <w:rFonts w:ascii="Cambria Math" w:hAnsi="Cambria Math"/>
              </w:rPr>
              <w:t>)</w:t>
            </w:r>
          </w:p>
        </w:tc>
      </w:tr>
    </w:tbl>
    <w:p w:rsidR="00091302" w:rsidRDefault="00091302" w:rsidP="00091302">
      <w:pPr>
        <w:pStyle w:val="BodyText"/>
      </w:pPr>
      <w:r>
        <w:t xml:space="preserve">Substituting this expression into equation </w:t>
      </w:r>
      <w:r w:rsidR="003B291D">
        <w:t xml:space="preserve">(4) </w:t>
      </w:r>
      <w:r>
        <w:t xml:space="preserve">produces an expression for the unadjusted estimate </w:t>
      </w:r>
      <m:oMath>
        <m:acc>
          <m:accPr>
            <m:ctrlPr>
              <w:rPr>
                <w:rFonts w:ascii="Cambria Math" w:hAnsi="Cambria Math"/>
                <w:i/>
              </w:rPr>
            </m:ctrlPr>
          </m:accPr>
          <m:e>
            <m:r>
              <w:rPr>
                <w:rFonts w:ascii="Cambria Math" w:hAnsi="Cambria Math"/>
              </w:rPr>
              <m:t>V</m:t>
            </m:r>
          </m:e>
        </m:acc>
      </m:oMath>
      <w:r>
        <w:t xml:space="preserve"> as a function of the true </w:t>
      </w:r>
      <w:proofErr w:type="gramStart"/>
      <w:r>
        <w:t xml:space="preserve">value </w:t>
      </w:r>
      <w:proofErr w:type="gramEnd"/>
      <m:oMath>
        <m:r>
          <w:rPr>
            <w:rFonts w:ascii="Cambria Math" w:hAnsi="Cambria Math"/>
          </w:rPr>
          <m:t>V</m:t>
        </m:r>
      </m:oMath>
      <w:r>
        <w:t xml:space="preserve">.  </w:t>
      </w:r>
      <w:commentRangeStart w:id="10"/>
      <w:r>
        <w:t xml:space="preserve">It </w:t>
      </w:r>
      <w:commentRangeEnd w:id="10"/>
      <w:r>
        <w:rPr>
          <w:rStyle w:val="CommentReference"/>
        </w:rPr>
        <w:commentReference w:id="10"/>
      </w:r>
      <w:r>
        <w:t xml:space="preserve">is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0"/>
        <w:gridCol w:w="720"/>
      </w:tblGrid>
      <w:tr w:rsidR="00544214" w:rsidRPr="00CC0BF5" w:rsidTr="00544214">
        <w:tc>
          <w:tcPr>
            <w:tcW w:w="8640" w:type="dxa"/>
            <w:vAlign w:val="center"/>
          </w:tcPr>
          <w:p w:rsidR="00544214" w:rsidRPr="00CC0BF5" w:rsidRDefault="00C67A10" w:rsidP="00544214">
            <w:pPr>
              <w:pStyle w:val="BodyText"/>
              <w:keepNext/>
              <w:jc w:val="center"/>
              <w:rPr>
                <w:rFonts w:ascii="Cambria Math" w:hAnsi="Cambria Math"/>
              </w:rPr>
            </w:pPr>
            <m:oMathPara>
              <m:oMath>
                <m:acc>
                  <m:accPr>
                    <m:ctrlPr>
                      <w:rPr>
                        <w:rFonts w:ascii="Cambria Math" w:hAnsi="Cambria Math"/>
                      </w:rPr>
                    </m:ctrlPr>
                  </m:accPr>
                  <m:e>
                    <m:r>
                      <w:rPr>
                        <w:rFonts w:ascii="Cambria Math" w:hAnsi="Cambria Math"/>
                      </w:rPr>
                      <m:t>V</m:t>
                    </m:r>
                  </m:e>
                </m:acc>
                <m:r>
                  <m:rPr>
                    <m:sty m:val="p"/>
                  </m:rPr>
                  <w:rPr>
                    <w:rFonts w:ascii="Cambria Math" w:hAnsi="Cambria Math"/>
                  </w:rPr>
                  <m:t>=</m:t>
                </m:r>
                <m:r>
                  <w:rPr>
                    <w:rFonts w:ascii="Cambria Math" w:hAnsi="Cambria Math"/>
                  </w:rPr>
                  <m:t>M</m:t>
                </m:r>
                <m:r>
                  <m:rPr>
                    <m:sty m:val="p"/>
                  </m:rPr>
                  <w:rPr>
                    <w:rFonts w:ascii="Cambria Math" w:hAnsi="Cambria Math"/>
                  </w:rPr>
                  <m:t>+S</m:t>
                </m:r>
                <m:d>
                  <m:dPr>
                    <m:ctrlPr>
                      <w:rPr>
                        <w:rFonts w:ascii="Cambria Math" w:hAnsi="Cambria Math"/>
                      </w:rPr>
                    </m:ctrlPr>
                  </m:dPr>
                  <m:e>
                    <m:f>
                      <m:fPr>
                        <m:ctrlPr>
                          <w:rPr>
                            <w:rFonts w:ascii="Cambria Math" w:hAnsi="Cambria Math"/>
                            <w:i/>
                          </w:rPr>
                        </m:ctrlPr>
                      </m:fPr>
                      <m:num>
                        <m:r>
                          <w:rPr>
                            <w:rFonts w:ascii="Cambria Math" w:hAnsi="Cambria Math"/>
                          </w:rPr>
                          <m:t>V-M</m:t>
                        </m:r>
                      </m:num>
                      <m:den>
                        <m:r>
                          <w:rPr>
                            <w:rFonts w:ascii="Cambria Math" w:hAnsi="Cambria Math"/>
                          </w:rPr>
                          <m:t>S+2c</m:t>
                        </m:r>
                      </m:den>
                    </m:f>
                  </m:e>
                </m:d>
              </m:oMath>
            </m:oMathPara>
          </w:p>
        </w:tc>
        <w:tc>
          <w:tcPr>
            <w:tcW w:w="720" w:type="dxa"/>
            <w:vAlign w:val="center"/>
          </w:tcPr>
          <w:p w:rsidR="00544214" w:rsidRPr="00CC0BF5" w:rsidRDefault="00544214" w:rsidP="00544214">
            <w:pPr>
              <w:pStyle w:val="BodyText"/>
              <w:keepNext/>
              <w:jc w:val="right"/>
              <w:rPr>
                <w:rFonts w:ascii="Cambria Math" w:hAnsi="Cambria Math"/>
              </w:rPr>
            </w:pPr>
            <w:r w:rsidRPr="00CC0BF5">
              <w:rPr>
                <w:rFonts w:ascii="Cambria Math" w:hAnsi="Cambria Math"/>
              </w:rPr>
              <w:t>(</w:t>
            </w:r>
            <w:r w:rsidRPr="00CC0BF5">
              <w:rPr>
                <w:rFonts w:ascii="Cambria Math" w:hAnsi="Cambria Math"/>
              </w:rPr>
              <w:fldChar w:fldCharType="begin"/>
            </w:r>
            <w:r w:rsidRPr="00CC0BF5">
              <w:rPr>
                <w:rFonts w:ascii="Cambria Math" w:hAnsi="Cambria Math"/>
              </w:rPr>
              <w:instrText xml:space="preserve"> SEQ Equations\* Arabic \* MERGEFORMAT </w:instrText>
            </w:r>
            <w:r w:rsidRPr="00CC0BF5">
              <w:rPr>
                <w:rFonts w:ascii="Cambria Math" w:hAnsi="Cambria Math"/>
              </w:rPr>
              <w:fldChar w:fldCharType="separate"/>
            </w:r>
            <w:r w:rsidR="00C67A10">
              <w:rPr>
                <w:rFonts w:ascii="Cambria Math" w:hAnsi="Cambria Math"/>
                <w:noProof/>
              </w:rPr>
              <w:t>14</w:t>
            </w:r>
            <w:r w:rsidRPr="00CC0BF5">
              <w:rPr>
                <w:rFonts w:ascii="Cambria Math" w:hAnsi="Cambria Math"/>
              </w:rPr>
              <w:fldChar w:fldCharType="end"/>
            </w:r>
            <w:r w:rsidRPr="00CC0BF5">
              <w:rPr>
                <w:rFonts w:ascii="Cambria Math" w:hAnsi="Cambria Math"/>
              </w:rPr>
              <w:t>)</w:t>
            </w:r>
          </w:p>
        </w:tc>
      </w:tr>
    </w:tbl>
    <w:p w:rsidR="00091302" w:rsidRDefault="00091302" w:rsidP="00091302">
      <w:pPr>
        <w:pStyle w:val="BodyText"/>
      </w:pPr>
      <w:commentRangeStart w:id="11"/>
      <w:r>
        <w:t xml:space="preserve">Note </w:t>
      </w:r>
      <w:commentRangeEnd w:id="11"/>
      <w:r>
        <w:rPr>
          <w:rStyle w:val="CommentReference"/>
        </w:rPr>
        <w:commentReference w:id="11"/>
      </w:r>
      <w:r>
        <w:t xml:space="preserve">that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0"/>
        <w:gridCol w:w="720"/>
      </w:tblGrid>
      <w:tr w:rsidR="00544214" w:rsidRPr="00CC0BF5" w:rsidTr="00544214">
        <w:tc>
          <w:tcPr>
            <w:tcW w:w="8640" w:type="dxa"/>
            <w:vAlign w:val="center"/>
          </w:tcPr>
          <w:p w:rsidR="00544214" w:rsidRPr="00CC0BF5" w:rsidRDefault="00C67A10" w:rsidP="00544214">
            <w:pPr>
              <w:pStyle w:val="BodyText"/>
              <w:keepNext/>
              <w:jc w:val="center"/>
              <w:rPr>
                <w:rFonts w:ascii="Cambria Math" w:hAnsi="Cambria Math"/>
              </w:rPr>
            </w:pPr>
            <m:oMathPara>
              <m:oMath>
                <m:acc>
                  <m:accPr>
                    <m:ctrlPr>
                      <w:rPr>
                        <w:rFonts w:ascii="Cambria Math" w:hAnsi="Cambria Math"/>
                      </w:rPr>
                    </m:ctrlPr>
                  </m:accPr>
                  <m:e>
                    <m:r>
                      <w:rPr>
                        <w:rFonts w:ascii="Cambria Math" w:hAnsi="Cambria Math"/>
                      </w:rPr>
                      <m:t>V</m:t>
                    </m:r>
                  </m:e>
                </m:acc>
                <m:r>
                  <m:rPr>
                    <m:sty m:val="p"/>
                  </m:rPr>
                  <w:rPr>
                    <w:rFonts w:ascii="Cambria Math" w:hAnsi="Cambria Math"/>
                  </w:rPr>
                  <m:t>-V</m:t>
                </m:r>
                <m:r>
                  <w:rPr>
                    <w:rFonts w:ascii="Cambria Math" w:hAnsi="Cambria Math"/>
                  </w:rPr>
                  <m:t>=</m:t>
                </m:r>
                <m:d>
                  <m:dPr>
                    <m:ctrlPr>
                      <w:rPr>
                        <w:rFonts w:ascii="Cambria Math" w:hAnsi="Cambria Math"/>
                        <w:i/>
                      </w:rPr>
                    </m:ctrlPr>
                  </m:dPr>
                  <m:e>
                    <m:r>
                      <w:rPr>
                        <w:rFonts w:ascii="Cambria Math" w:hAnsi="Cambria Math"/>
                      </w:rPr>
                      <m:t>M-V</m:t>
                    </m:r>
                  </m:e>
                </m:d>
                <m:d>
                  <m:dPr>
                    <m:ctrlPr>
                      <w:rPr>
                        <w:rFonts w:ascii="Cambria Math" w:hAnsi="Cambria Math"/>
                        <w:i/>
                      </w:rPr>
                    </m:ctrlPr>
                  </m:dPr>
                  <m:e>
                    <m:f>
                      <m:fPr>
                        <m:ctrlPr>
                          <w:rPr>
                            <w:rFonts w:ascii="Cambria Math" w:hAnsi="Cambria Math"/>
                            <w:i/>
                          </w:rPr>
                        </m:ctrlPr>
                      </m:fPr>
                      <m:num>
                        <m:r>
                          <w:rPr>
                            <w:rFonts w:ascii="Cambria Math" w:hAnsi="Cambria Math"/>
                          </w:rPr>
                          <m:t>2c</m:t>
                        </m:r>
                      </m:num>
                      <m:den>
                        <m:r>
                          <w:rPr>
                            <w:rFonts w:ascii="Cambria Math" w:hAnsi="Cambria Math"/>
                          </w:rPr>
                          <m:t>S+2c</m:t>
                        </m:r>
                      </m:den>
                    </m:f>
                  </m:e>
                </m:d>
                <m:r>
                  <w:rPr>
                    <w:rFonts w:ascii="Cambria Math" w:hAnsi="Cambria Math"/>
                  </w:rPr>
                  <m:t xml:space="preserve"> </m:t>
                </m:r>
                <m:r>
                  <m:rPr>
                    <m:sty m:val="p"/>
                  </m:rPr>
                  <w:rPr>
                    <w:rStyle w:val="CommentReference"/>
                    <w:rFonts w:ascii="Cambria Math" w:hAnsi="Cambria Math"/>
                  </w:rPr>
                  <w:commentReference w:id="12"/>
                </m:r>
                <m:r>
                  <w:rPr>
                    <w:rFonts w:ascii="Cambria Math" w:hAnsi="Cambria Math"/>
                  </w:rPr>
                  <m:t>.</m:t>
                </m:r>
              </m:oMath>
            </m:oMathPara>
          </w:p>
        </w:tc>
        <w:tc>
          <w:tcPr>
            <w:tcW w:w="720" w:type="dxa"/>
            <w:vAlign w:val="center"/>
          </w:tcPr>
          <w:p w:rsidR="00544214" w:rsidRPr="00CC0BF5" w:rsidRDefault="00544214" w:rsidP="00544214">
            <w:pPr>
              <w:pStyle w:val="BodyText"/>
              <w:keepNext/>
              <w:jc w:val="right"/>
              <w:rPr>
                <w:rFonts w:ascii="Cambria Math" w:hAnsi="Cambria Math"/>
              </w:rPr>
            </w:pPr>
            <w:r w:rsidRPr="00CC0BF5">
              <w:rPr>
                <w:rFonts w:ascii="Cambria Math" w:hAnsi="Cambria Math"/>
              </w:rPr>
              <w:t>(</w:t>
            </w:r>
            <w:r w:rsidRPr="00CC0BF5">
              <w:rPr>
                <w:rFonts w:ascii="Cambria Math" w:hAnsi="Cambria Math"/>
              </w:rPr>
              <w:fldChar w:fldCharType="begin"/>
            </w:r>
            <w:r w:rsidRPr="00CC0BF5">
              <w:rPr>
                <w:rFonts w:ascii="Cambria Math" w:hAnsi="Cambria Math"/>
              </w:rPr>
              <w:instrText xml:space="preserve"> SEQ Equations\* Arabic \* MERGEFORMAT </w:instrText>
            </w:r>
            <w:r w:rsidRPr="00CC0BF5">
              <w:rPr>
                <w:rFonts w:ascii="Cambria Math" w:hAnsi="Cambria Math"/>
              </w:rPr>
              <w:fldChar w:fldCharType="separate"/>
            </w:r>
            <w:r w:rsidR="00C67A10">
              <w:rPr>
                <w:rFonts w:ascii="Cambria Math" w:hAnsi="Cambria Math"/>
                <w:noProof/>
              </w:rPr>
              <w:t>15</w:t>
            </w:r>
            <w:r w:rsidRPr="00CC0BF5">
              <w:rPr>
                <w:rFonts w:ascii="Cambria Math" w:hAnsi="Cambria Math"/>
              </w:rPr>
              <w:fldChar w:fldCharType="end"/>
            </w:r>
            <w:r w:rsidRPr="00CC0BF5">
              <w:rPr>
                <w:rFonts w:ascii="Cambria Math" w:hAnsi="Cambria Math"/>
              </w:rPr>
              <w:t>)</w:t>
            </w:r>
          </w:p>
        </w:tc>
      </w:tr>
    </w:tbl>
    <w:p w:rsidR="00091302" w:rsidRDefault="00C67A10" w:rsidP="00091302">
      <w:pPr>
        <w:pStyle w:val="BodyText"/>
      </w:pPr>
      <m:oMath>
        <m:acc>
          <m:accPr>
            <m:ctrlPr>
              <w:rPr>
                <w:rFonts w:ascii="Cambria Math" w:hAnsi="Cambria Math"/>
                <w:i/>
              </w:rPr>
            </m:ctrlPr>
          </m:accPr>
          <m:e>
            <m:r>
              <w:rPr>
                <w:rFonts w:ascii="Cambria Math" w:hAnsi="Cambria Math"/>
              </w:rPr>
              <m:t>V</m:t>
            </m:r>
          </m:e>
        </m:acc>
      </m:oMath>
      <w:r w:rsidR="00091302">
        <w:t xml:space="preserve"> </w:t>
      </w:r>
      <w:proofErr w:type="gramStart"/>
      <w:r w:rsidR="00091302">
        <w:t>is</w:t>
      </w:r>
      <w:proofErr w:type="gramEnd"/>
      <w:r w:rsidR="00091302">
        <w:t xml:space="preserve"> less than </w:t>
      </w:r>
      <m:oMath>
        <m:r>
          <w:rPr>
            <w:rFonts w:ascii="Cambria Math" w:hAnsi="Cambria Math"/>
          </w:rPr>
          <m:t>V</m:t>
        </m:r>
      </m:oMath>
      <w:r w:rsidR="00091302">
        <w:t xml:space="preserve"> when </w:t>
      </w:r>
      <m:oMath>
        <m:r>
          <w:rPr>
            <w:rFonts w:ascii="Cambria Math" w:hAnsi="Cambria Math"/>
          </w:rPr>
          <m:t>V&gt;M</m:t>
        </m:r>
      </m:oMath>
      <w:r w:rsidR="00091302">
        <w:t xml:space="preserve"> and greater otherwise so that </w:t>
      </w:r>
      <m:oMath>
        <m:acc>
          <m:accPr>
            <m:ctrlPr>
              <w:rPr>
                <w:rFonts w:ascii="Cambria Math" w:hAnsi="Cambria Math"/>
                <w:i/>
              </w:rPr>
            </m:ctrlPr>
          </m:accPr>
          <m:e>
            <m:r>
              <w:rPr>
                <w:rFonts w:ascii="Cambria Math" w:hAnsi="Cambria Math"/>
              </w:rPr>
              <m:t>V</m:t>
            </m:r>
          </m:e>
        </m:acc>
      </m:oMath>
      <w:r w:rsidR="00091302">
        <w:t xml:space="preserve">is always closer to </w:t>
      </w:r>
      <m:oMath>
        <m:r>
          <w:rPr>
            <w:rFonts w:ascii="Cambria Math" w:hAnsi="Cambria Math"/>
          </w:rPr>
          <m:t xml:space="preserve">M </m:t>
        </m:r>
      </m:oMath>
      <w:r w:rsidR="00091302">
        <w:t xml:space="preserve">than is </w:t>
      </w:r>
      <m:oMath>
        <m:r>
          <w:rPr>
            <w:rFonts w:ascii="Cambria Math" w:hAnsi="Cambria Math"/>
          </w:rPr>
          <m:t xml:space="preserve">V. </m:t>
        </m:r>
      </m:oMath>
    </w:p>
    <w:p w:rsidR="00091302" w:rsidRPr="00544214" w:rsidRDefault="00091302" w:rsidP="00091302">
      <w:pPr>
        <w:pStyle w:val="BodyText"/>
      </w:pPr>
      <w:r>
        <w:t xml:space="preserve">Inverting equation </w:t>
      </w:r>
      <w:r w:rsidR="003B291D">
        <w:t xml:space="preserve">(14) </w:t>
      </w:r>
      <w:r>
        <w:t xml:space="preserve">provides an </w:t>
      </w:r>
      <w:commentRangeStart w:id="13"/>
      <w:r>
        <w:t xml:space="preserve">expression </w:t>
      </w:r>
      <w:commentRangeEnd w:id="13"/>
      <w:r>
        <w:rPr>
          <w:rStyle w:val="CommentReference"/>
        </w:rPr>
        <w:commentReference w:id="13"/>
      </w:r>
      <w:r>
        <w:t xml:space="preserve">for </w:t>
      </w:r>
      <m:oMath>
        <m:r>
          <w:rPr>
            <w:rFonts w:ascii="Cambria Math" w:hAnsi="Cambria Math"/>
          </w:rPr>
          <m:t>V</m:t>
        </m:r>
      </m:oMath>
      <w:r>
        <w:t xml:space="preserve"> in terms of </w:t>
      </w:r>
      <m:oMath>
        <m:acc>
          <m:accPr>
            <m:ctrlPr>
              <w:rPr>
                <w:rFonts w:ascii="Cambria Math" w:hAnsi="Cambria Math"/>
                <w:i/>
              </w:rPr>
            </m:ctrlPr>
          </m:accPr>
          <m:e>
            <m:r>
              <w:rPr>
                <w:rFonts w:ascii="Cambria Math" w:hAnsi="Cambria Math"/>
              </w:rPr>
              <m:t>V</m:t>
            </m:r>
          </m:e>
        </m:acc>
        <m:r>
          <w:rPr>
            <w:rFonts w:ascii="Cambria Math" w:hAnsi="Cambria Math"/>
          </w:rPr>
          <m:t xml:space="preserve">:  </m:t>
        </m:r>
      </m:oMath>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0"/>
        <w:gridCol w:w="720"/>
      </w:tblGrid>
      <w:tr w:rsidR="00544214" w:rsidRPr="00CC0BF5" w:rsidTr="00544214">
        <w:tc>
          <w:tcPr>
            <w:tcW w:w="8640" w:type="dxa"/>
            <w:vAlign w:val="center"/>
          </w:tcPr>
          <w:p w:rsidR="00544214" w:rsidRPr="00CC0BF5" w:rsidRDefault="00544214" w:rsidP="00544214">
            <w:pPr>
              <w:pStyle w:val="BodyText"/>
              <w:keepNext/>
              <w:jc w:val="center"/>
              <w:rPr>
                <w:rFonts w:ascii="Cambria Math" w:hAnsi="Cambria Math"/>
              </w:rPr>
            </w:pPr>
            <m:oMathPara>
              <m:oMath>
                <m:r>
                  <w:rPr>
                    <w:rFonts w:ascii="Cambria Math" w:hAnsi="Cambria Math"/>
                  </w:rPr>
                  <m:t>V=M+</m:t>
                </m:r>
                <m:d>
                  <m:dPr>
                    <m:ctrlPr>
                      <w:rPr>
                        <w:rFonts w:ascii="Cambria Math" w:hAnsi="Cambria Math"/>
                        <w:i/>
                      </w:rPr>
                    </m:ctrlPr>
                  </m:dPr>
                  <m:e>
                    <m:acc>
                      <m:accPr>
                        <m:ctrlPr>
                          <w:rPr>
                            <w:rFonts w:ascii="Cambria Math" w:hAnsi="Cambria Math"/>
                            <w:i/>
                          </w:rPr>
                        </m:ctrlPr>
                      </m:accPr>
                      <m:e>
                        <m:r>
                          <w:rPr>
                            <w:rFonts w:ascii="Cambria Math" w:hAnsi="Cambria Math"/>
                          </w:rPr>
                          <m:t>V</m:t>
                        </m:r>
                      </m:e>
                    </m:acc>
                    <m:r>
                      <w:rPr>
                        <w:rFonts w:ascii="Cambria Math" w:hAnsi="Cambria Math"/>
                      </w:rPr>
                      <m:t>-M</m:t>
                    </m:r>
                  </m:e>
                </m:d>
                <m:f>
                  <m:fPr>
                    <m:ctrlPr>
                      <w:rPr>
                        <w:rFonts w:ascii="Cambria Math" w:hAnsi="Cambria Math"/>
                        <w:i/>
                      </w:rPr>
                    </m:ctrlPr>
                  </m:fPr>
                  <m:num>
                    <m:d>
                      <m:dPr>
                        <m:ctrlPr>
                          <w:rPr>
                            <w:rFonts w:ascii="Cambria Math" w:hAnsi="Cambria Math"/>
                            <w:i/>
                          </w:rPr>
                        </m:ctrlPr>
                      </m:dPr>
                      <m:e>
                        <m:r>
                          <w:rPr>
                            <w:rFonts w:ascii="Cambria Math" w:hAnsi="Cambria Math"/>
                          </w:rPr>
                          <m:t>S+2c</m:t>
                        </m:r>
                      </m:e>
                    </m:d>
                  </m:num>
                  <m:den>
                    <m:r>
                      <w:rPr>
                        <w:rFonts w:ascii="Cambria Math" w:hAnsi="Cambria Math"/>
                      </w:rPr>
                      <m:t>S</m:t>
                    </m:r>
                  </m:den>
                </m:f>
                <m:r>
                  <w:rPr>
                    <w:rFonts w:ascii="Cambria Math" w:hAnsi="Cambria Math"/>
                  </w:rPr>
                  <m:t xml:space="preserve"> .</m:t>
                </m:r>
              </m:oMath>
            </m:oMathPara>
          </w:p>
        </w:tc>
        <w:tc>
          <w:tcPr>
            <w:tcW w:w="720" w:type="dxa"/>
            <w:vAlign w:val="center"/>
          </w:tcPr>
          <w:p w:rsidR="00544214" w:rsidRPr="00CC0BF5" w:rsidRDefault="00544214" w:rsidP="00544214">
            <w:pPr>
              <w:pStyle w:val="BodyText"/>
              <w:keepNext/>
              <w:jc w:val="right"/>
              <w:rPr>
                <w:rFonts w:ascii="Cambria Math" w:hAnsi="Cambria Math"/>
              </w:rPr>
            </w:pPr>
            <w:r w:rsidRPr="00CC0BF5">
              <w:rPr>
                <w:rFonts w:ascii="Cambria Math" w:hAnsi="Cambria Math"/>
              </w:rPr>
              <w:t>(</w:t>
            </w:r>
            <w:r w:rsidRPr="00CC0BF5">
              <w:rPr>
                <w:rFonts w:ascii="Cambria Math" w:hAnsi="Cambria Math"/>
              </w:rPr>
              <w:fldChar w:fldCharType="begin"/>
            </w:r>
            <w:r w:rsidRPr="00CC0BF5">
              <w:rPr>
                <w:rFonts w:ascii="Cambria Math" w:hAnsi="Cambria Math"/>
              </w:rPr>
              <w:instrText xml:space="preserve"> SEQ Equations\* Arabic \* MERGEFORMAT </w:instrText>
            </w:r>
            <w:r w:rsidRPr="00CC0BF5">
              <w:rPr>
                <w:rFonts w:ascii="Cambria Math" w:hAnsi="Cambria Math"/>
              </w:rPr>
              <w:fldChar w:fldCharType="separate"/>
            </w:r>
            <w:r w:rsidR="00C67A10">
              <w:rPr>
                <w:rFonts w:ascii="Cambria Math" w:hAnsi="Cambria Math"/>
                <w:noProof/>
              </w:rPr>
              <w:t>16</w:t>
            </w:r>
            <w:r w:rsidRPr="00CC0BF5">
              <w:rPr>
                <w:rFonts w:ascii="Cambria Math" w:hAnsi="Cambria Math"/>
              </w:rPr>
              <w:fldChar w:fldCharType="end"/>
            </w:r>
            <w:r w:rsidRPr="00CC0BF5">
              <w:rPr>
                <w:rFonts w:ascii="Cambria Math" w:hAnsi="Cambria Math"/>
              </w:rPr>
              <w:t>)</w:t>
            </w:r>
          </w:p>
        </w:tc>
      </w:tr>
    </w:tbl>
    <w:p w:rsidR="00091302" w:rsidRDefault="00091302" w:rsidP="00091302">
      <w:pPr>
        <w:pStyle w:val="BodyText"/>
      </w:pPr>
      <w:r>
        <w:t xml:space="preserve">Substituting this expression into equation </w:t>
      </w:r>
      <w:r w:rsidR="003B291D">
        <w:t>(4)</w:t>
      </w:r>
      <w:r>
        <w:t xml:space="preserve"> gives the desired </w:t>
      </w:r>
      <w:commentRangeStart w:id="14"/>
      <w:r>
        <w:t xml:space="preserve">bounds </w:t>
      </w:r>
      <w:commentRangeEnd w:id="14"/>
      <w:r>
        <w:rPr>
          <w:rStyle w:val="CommentReference"/>
        </w:rPr>
        <w:commentReference w:id="14"/>
      </w:r>
      <w:r>
        <w:t xml:space="preserve">for </w:t>
      </w:r>
      <m:oMath>
        <m:acc>
          <m:accPr>
            <m:ctrlPr>
              <w:rPr>
                <w:rFonts w:ascii="Cambria Math" w:hAnsi="Cambria Math"/>
                <w:i/>
              </w:rPr>
            </m:ctrlPr>
          </m:accPr>
          <m:e>
            <m:r>
              <w:rPr>
                <w:rFonts w:ascii="Cambria Math" w:hAnsi="Cambria Math"/>
              </w:rPr>
              <m:t>V</m:t>
            </m:r>
          </m:e>
        </m:acc>
      </m:oMath>
      <w:r>
        <w:t xml:space="preserve"> within which the associated true value </w:t>
      </w:r>
      <m:oMath>
        <m:r>
          <w:rPr>
            <w:rFonts w:ascii="Cambria Math" w:hAnsi="Cambria Math"/>
          </w:rPr>
          <m:t>V</m:t>
        </m:r>
      </m:oMath>
      <w:r>
        <w:t xml:space="preserve"> must be between the current </w:t>
      </w:r>
      <w:proofErr w:type="gramStart"/>
      <w:r>
        <w:t>bid</w:t>
      </w:r>
      <w:proofErr w:type="gramEnd"/>
      <w:r>
        <w:t xml:space="preserve"> and ask prices: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0"/>
        <w:gridCol w:w="720"/>
      </w:tblGrid>
      <w:tr w:rsidR="00544214" w:rsidRPr="00CC0BF5" w:rsidTr="00544214">
        <w:tc>
          <w:tcPr>
            <w:tcW w:w="8640" w:type="dxa"/>
            <w:vAlign w:val="center"/>
          </w:tcPr>
          <w:p w:rsidR="00544214" w:rsidRPr="00CC0BF5" w:rsidRDefault="00544214" w:rsidP="00544214">
            <w:pPr>
              <w:pStyle w:val="BodyText"/>
              <w:keepNext/>
              <w:jc w:val="center"/>
              <w:rPr>
                <w:rFonts w:ascii="Cambria Math" w:hAnsi="Cambria Math"/>
              </w:rPr>
            </w:pPr>
            <m:oMathPara>
              <m:oMath>
                <m:r>
                  <w:rPr>
                    <w:rFonts w:ascii="Cambria Math" w:hAnsi="Cambria Math"/>
                  </w:rPr>
                  <m:t>M-</m:t>
                </m:r>
                <m:f>
                  <m:fPr>
                    <m:ctrlPr>
                      <w:rPr>
                        <w:rFonts w:ascii="Cambria Math" w:hAnsi="Cambria Math"/>
                        <w:i/>
                      </w:rPr>
                    </m:ctrlPr>
                  </m:fPr>
                  <m:num>
                    <m:r>
                      <w:rPr>
                        <w:rFonts w:ascii="Cambria Math" w:hAnsi="Cambria Math"/>
                      </w:rPr>
                      <m:t>S</m:t>
                    </m:r>
                  </m:num>
                  <m:den>
                    <m:r>
                      <w:rPr>
                        <w:rFonts w:ascii="Cambria Math" w:hAnsi="Cambria Math"/>
                      </w:rPr>
                      <m:t>2</m:t>
                    </m:r>
                  </m:den>
                </m:f>
                <m:d>
                  <m:dPr>
                    <m:ctrlPr>
                      <w:rPr>
                        <w:rFonts w:ascii="Cambria Math" w:hAnsi="Cambria Math"/>
                        <w:i/>
                      </w:rPr>
                    </m:ctrlPr>
                  </m:dPr>
                  <m:e>
                    <m:f>
                      <m:fPr>
                        <m:ctrlPr>
                          <w:rPr>
                            <w:rFonts w:ascii="Cambria Math" w:hAnsi="Cambria Math"/>
                            <w:i/>
                          </w:rPr>
                        </m:ctrlPr>
                      </m:fPr>
                      <m:num>
                        <m:r>
                          <w:rPr>
                            <w:rFonts w:ascii="Cambria Math" w:hAnsi="Cambria Math"/>
                          </w:rPr>
                          <m:t>S-2c</m:t>
                        </m:r>
                      </m:num>
                      <m:den>
                        <m:r>
                          <w:rPr>
                            <w:rFonts w:ascii="Cambria Math" w:hAnsi="Cambria Math"/>
                          </w:rPr>
                          <m:t>S+2c</m:t>
                        </m:r>
                      </m:den>
                    </m:f>
                  </m:e>
                </m:d>
                <m:r>
                  <w:rPr>
                    <w:rFonts w:ascii="Cambria Math" w:hAnsi="Cambria Math"/>
                  </w:rPr>
                  <m:t>≤</m:t>
                </m:r>
                <m:acc>
                  <m:accPr>
                    <m:ctrlPr>
                      <w:rPr>
                        <w:rFonts w:ascii="Cambria Math" w:hAnsi="Cambria Math"/>
                        <w:i/>
                      </w:rPr>
                    </m:ctrlPr>
                  </m:accPr>
                  <m:e>
                    <m:r>
                      <w:rPr>
                        <w:rFonts w:ascii="Cambria Math" w:hAnsi="Cambria Math"/>
                      </w:rPr>
                      <m:t>V</m:t>
                    </m:r>
                  </m:e>
                </m:acc>
                <m:r>
                  <w:rPr>
                    <w:rFonts w:ascii="Cambria Math" w:hAnsi="Cambria Math"/>
                  </w:rPr>
                  <m:t>≤M+</m:t>
                </m:r>
                <m:f>
                  <m:fPr>
                    <m:ctrlPr>
                      <w:rPr>
                        <w:rFonts w:ascii="Cambria Math" w:hAnsi="Cambria Math"/>
                        <w:i/>
                      </w:rPr>
                    </m:ctrlPr>
                  </m:fPr>
                  <m:num>
                    <m:r>
                      <w:rPr>
                        <w:rFonts w:ascii="Cambria Math" w:hAnsi="Cambria Math"/>
                      </w:rPr>
                      <m:t>S</m:t>
                    </m:r>
                  </m:num>
                  <m:den>
                    <m:r>
                      <w:rPr>
                        <w:rFonts w:ascii="Cambria Math" w:hAnsi="Cambria Math"/>
                      </w:rPr>
                      <m:t>2</m:t>
                    </m:r>
                  </m:den>
                </m:f>
                <m:d>
                  <m:dPr>
                    <m:ctrlPr>
                      <w:rPr>
                        <w:rFonts w:ascii="Cambria Math" w:hAnsi="Cambria Math"/>
                        <w:i/>
                      </w:rPr>
                    </m:ctrlPr>
                  </m:dPr>
                  <m:e>
                    <m:f>
                      <m:fPr>
                        <m:ctrlPr>
                          <w:rPr>
                            <w:rFonts w:ascii="Cambria Math" w:hAnsi="Cambria Math"/>
                            <w:i/>
                          </w:rPr>
                        </m:ctrlPr>
                      </m:fPr>
                      <m:num>
                        <m:r>
                          <w:rPr>
                            <w:rFonts w:ascii="Cambria Math" w:hAnsi="Cambria Math"/>
                          </w:rPr>
                          <m:t>S-2c</m:t>
                        </m:r>
                      </m:num>
                      <m:den>
                        <m:r>
                          <w:rPr>
                            <w:rFonts w:ascii="Cambria Math" w:hAnsi="Cambria Math"/>
                          </w:rPr>
                          <m:t>S+2c</m:t>
                        </m:r>
                      </m:den>
                    </m:f>
                  </m:e>
                </m:d>
              </m:oMath>
            </m:oMathPara>
          </w:p>
        </w:tc>
        <w:tc>
          <w:tcPr>
            <w:tcW w:w="720" w:type="dxa"/>
            <w:vAlign w:val="center"/>
          </w:tcPr>
          <w:p w:rsidR="00544214" w:rsidRPr="00CC0BF5" w:rsidRDefault="00544214" w:rsidP="00544214">
            <w:pPr>
              <w:pStyle w:val="BodyText"/>
              <w:keepNext/>
              <w:jc w:val="right"/>
              <w:rPr>
                <w:rFonts w:ascii="Cambria Math" w:hAnsi="Cambria Math"/>
              </w:rPr>
            </w:pPr>
            <w:r w:rsidRPr="00CC0BF5">
              <w:rPr>
                <w:rFonts w:ascii="Cambria Math" w:hAnsi="Cambria Math"/>
              </w:rPr>
              <w:t>(</w:t>
            </w:r>
            <w:r w:rsidRPr="00CC0BF5">
              <w:rPr>
                <w:rFonts w:ascii="Cambria Math" w:hAnsi="Cambria Math"/>
              </w:rPr>
              <w:fldChar w:fldCharType="begin"/>
            </w:r>
            <w:r w:rsidRPr="00CC0BF5">
              <w:rPr>
                <w:rFonts w:ascii="Cambria Math" w:hAnsi="Cambria Math"/>
              </w:rPr>
              <w:instrText xml:space="preserve"> SEQ Equations\* Arabic \* MERGEFORMAT </w:instrText>
            </w:r>
            <w:r w:rsidRPr="00CC0BF5">
              <w:rPr>
                <w:rFonts w:ascii="Cambria Math" w:hAnsi="Cambria Math"/>
              </w:rPr>
              <w:fldChar w:fldCharType="separate"/>
            </w:r>
            <w:r w:rsidR="00C67A10">
              <w:rPr>
                <w:rFonts w:ascii="Cambria Math" w:hAnsi="Cambria Math"/>
                <w:noProof/>
              </w:rPr>
              <w:t>17</w:t>
            </w:r>
            <w:r w:rsidRPr="00CC0BF5">
              <w:rPr>
                <w:rFonts w:ascii="Cambria Math" w:hAnsi="Cambria Math"/>
              </w:rPr>
              <w:fldChar w:fldCharType="end"/>
            </w:r>
            <w:r w:rsidRPr="00CC0BF5">
              <w:rPr>
                <w:rFonts w:ascii="Cambria Math" w:hAnsi="Cambria Math"/>
              </w:rPr>
              <w:t>)</w:t>
            </w:r>
          </w:p>
        </w:tc>
      </w:tr>
    </w:tbl>
    <w:p w:rsidR="00A57B8F" w:rsidRDefault="00C91854" w:rsidP="000042E4">
      <w:pPr>
        <w:pStyle w:val="BodyText"/>
      </w:pPr>
      <w:r>
        <w:t>F</w:t>
      </w:r>
      <w:r w:rsidRPr="00F81028">
        <w:t xml:space="preserve">or </w:t>
      </w:r>
      <m:oMath>
        <m:r>
          <w:rPr>
            <w:rFonts w:ascii="Cambria Math" w:hAnsi="Cambria Math"/>
          </w:rPr>
          <m:t>c=0.275¢</m:t>
        </m:r>
      </m:oMath>
      <w:r w:rsidR="00091302">
        <w:t xml:space="preserve"> </w:t>
      </w:r>
      <w:r w:rsidR="00005747">
        <w:t>(the average of 0.25</w:t>
      </w:r>
      <w:r w:rsidR="00005747">
        <w:rPr>
          <w:rFonts w:cstheme="minorHAnsi"/>
        </w:rPr>
        <w:t>¢</w:t>
      </w:r>
      <w:r w:rsidR="00005747">
        <w:t xml:space="preserve"> and 0.3</w:t>
      </w:r>
      <w:r w:rsidR="00005747">
        <w:rPr>
          <w:rFonts w:cstheme="minorHAnsi"/>
        </w:rPr>
        <w:t>¢</w:t>
      </w:r>
      <w:r w:rsidR="00005747">
        <w:t xml:space="preserve">) </w:t>
      </w:r>
      <w:proofErr w:type="gramStart"/>
      <w:r w:rsidR="00091302">
        <w:t xml:space="preserve">and </w:t>
      </w:r>
      <w:proofErr w:type="gramEnd"/>
      <m:oMath>
        <m:r>
          <w:rPr>
            <w:rFonts w:ascii="Cambria Math" w:hAnsi="Cambria Math"/>
          </w:rPr>
          <m:t>S=1¢</m:t>
        </m:r>
      </m:oMath>
      <w:r w:rsidRPr="00F81028">
        <w:t>,</w:t>
      </w:r>
      <w:r>
        <w:t xml:space="preserve"> this range is approximately</w:t>
      </w:r>
      <w:r w:rsidRPr="00F81028">
        <w:t xml:space="preserve"> </w:t>
      </w:r>
      <m:oMath>
        <m:d>
          <m:dPr>
            <m:begChr m:val="["/>
            <m:endChr m:val="]"/>
            <m:ctrlPr>
              <w:rPr>
                <w:rFonts w:ascii="Cambria Math" w:hAnsi="Cambria Math"/>
                <w:i/>
              </w:rPr>
            </m:ctrlPr>
          </m:dPr>
          <m:e>
            <m:r>
              <w:rPr>
                <w:rFonts w:ascii="Cambria Math" w:hAnsi="Cambria Math"/>
              </w:rPr>
              <m:t>0.355¢, 0.645¢</m:t>
            </m:r>
          </m:e>
        </m:d>
      </m:oMath>
      <w:r w:rsidR="000F03B9">
        <w:t xml:space="preserve">.  Although this range is only </w:t>
      </w:r>
      <w:r>
        <w:t>29.0</w:t>
      </w:r>
      <w:r w:rsidR="00DE4AA0" w:rsidRPr="00F81028">
        <w:t xml:space="preserve">% of the </w:t>
      </w:r>
      <w:r w:rsidR="000F03B9">
        <w:t>total 1</w:t>
      </w:r>
      <w:r w:rsidR="000F03B9">
        <w:rPr>
          <w:rFonts w:cstheme="minorHAnsi"/>
        </w:rPr>
        <w:t>¢</w:t>
      </w:r>
      <w:r w:rsidR="000F03B9">
        <w:t xml:space="preserve"> </w:t>
      </w:r>
      <w:r w:rsidR="00DE4AA0" w:rsidRPr="00F81028">
        <w:t xml:space="preserve">range </w:t>
      </w:r>
      <w:proofErr w:type="gramStart"/>
      <w:r w:rsidR="00DE4AA0" w:rsidRPr="00F81028">
        <w:t>of</w:t>
      </w:r>
      <w:r w:rsidR="00802661">
        <w:t xml:space="preserve"> </w:t>
      </w:r>
      <w:proofErr w:type="gramEnd"/>
      <m:oMath>
        <m:r>
          <m:rPr>
            <m:sty m:val="p"/>
          </m:rPr>
          <w:rPr>
            <w:rFonts w:ascii="Cambria Math" w:hAnsi="Cambria Math"/>
          </w:rPr>
          <m:t>mod</m:t>
        </m:r>
        <m:d>
          <m:dPr>
            <m:ctrlPr>
              <w:rPr>
                <w:rFonts w:ascii="Cambria Math" w:hAnsi="Cambria Math"/>
                <w:i/>
              </w:rPr>
            </m:ctrlPr>
          </m:dPr>
          <m:e>
            <m:acc>
              <m:accPr>
                <m:ctrlPr>
                  <w:rPr>
                    <w:rFonts w:ascii="Cambria Math" w:hAnsi="Cambria Math"/>
                    <w:i/>
                  </w:rPr>
                </m:ctrlPr>
              </m:accPr>
              <m:e>
                <m:r>
                  <w:rPr>
                    <w:rFonts w:ascii="Cambria Math" w:hAnsi="Cambria Math"/>
                  </w:rPr>
                  <m:t>V</m:t>
                </m:r>
              </m:e>
            </m:acc>
            <m:r>
              <w:rPr>
                <w:rFonts w:ascii="Cambria Math" w:hAnsi="Cambria Math"/>
              </w:rPr>
              <m:t>,1¢</m:t>
            </m:r>
          </m:e>
        </m:d>
      </m:oMath>
      <w:r w:rsidR="00802661">
        <w:t xml:space="preserve">, it </w:t>
      </w:r>
      <w:r w:rsidR="000F03B9">
        <w:t xml:space="preserve">has </w:t>
      </w:r>
      <m:oMath>
        <m:r>
          <w:rPr>
            <w:rFonts w:ascii="Cambria Math" w:hAnsi="Cambria Math"/>
          </w:rPr>
          <m:t>2</m:t>
        </m:r>
        <m:d>
          <m:dPr>
            <m:ctrlPr>
              <w:rPr>
                <w:rFonts w:ascii="Cambria Math" w:hAnsi="Cambria Math"/>
                <w:i/>
              </w:rPr>
            </m:ctrlPr>
          </m:dPr>
          <m:e>
            <m:r>
              <w:rPr>
                <w:rFonts w:ascii="Cambria Math" w:hAnsi="Cambria Math"/>
              </w:rPr>
              <m:t>M-c</m:t>
            </m:r>
          </m:e>
        </m:d>
      </m:oMath>
      <w:r w:rsidR="00A57B8F">
        <w:t xml:space="preserve"> of the integrated density, or </w:t>
      </w:r>
    </w:p>
    <w:p w:rsidR="00802661" w:rsidRDefault="005C3EAD" w:rsidP="000042E4">
      <w:pPr>
        <w:pStyle w:val="BodyText"/>
      </w:pPr>
      <w:proofErr w:type="gramStart"/>
      <w:r>
        <w:t>approximately</w:t>
      </w:r>
      <w:proofErr w:type="gramEnd"/>
      <w:r>
        <w:t xml:space="preserve"> </w:t>
      </w:r>
      <w:r w:rsidR="000F03B9">
        <w:t>4</w:t>
      </w:r>
      <w:r w:rsidR="00C91854">
        <w:t>5.0</w:t>
      </w:r>
      <w:r w:rsidR="000F03B9">
        <w:t>%</w:t>
      </w:r>
      <w:r w:rsidR="00A57B8F">
        <w:t xml:space="preserve"> for </w:t>
      </w:r>
      <m:oMath>
        <m:r>
          <w:rPr>
            <w:rFonts w:ascii="Cambria Math" w:hAnsi="Cambria Math"/>
          </w:rPr>
          <m:t>c=0.275¢</m:t>
        </m:r>
      </m:oMath>
      <w:r w:rsidR="00A57B8F" w:rsidRPr="00F81028">
        <w:t>.</w:t>
      </w:r>
    </w:p>
    <w:p w:rsidR="00DE4AA0" w:rsidRPr="00F81028" w:rsidRDefault="00DE4AA0" w:rsidP="000042E4">
      <w:pPr>
        <w:pStyle w:val="BodyText"/>
      </w:pPr>
      <w:r w:rsidRPr="00F81028">
        <w:t>The shape of the distribution in the tails is less obvious.  It depends on the process</w:t>
      </w:r>
      <w:r w:rsidR="005B4FC4">
        <w:t>es</w:t>
      </w:r>
      <w:r w:rsidRPr="00F81028">
        <w:t xml:space="preserve"> that cause quoted prices to rise or fall</w:t>
      </w:r>
      <w:r w:rsidR="00397675">
        <w:t xml:space="preserve"> because th</w:t>
      </w:r>
      <w:r w:rsidR="005B4FC4">
        <w:t xml:space="preserve">ey </w:t>
      </w:r>
      <w:r w:rsidR="00397675">
        <w:t>determine how often true value is outside of the current market</w:t>
      </w:r>
      <w:r w:rsidRPr="00F81028">
        <w:t xml:space="preserve">.  </w:t>
      </w:r>
    </w:p>
    <w:p w:rsidR="00DE4AA0" w:rsidRPr="00F81028" w:rsidRDefault="00DE4AA0" w:rsidP="000042E4">
      <w:pPr>
        <w:pStyle w:val="BodyText"/>
      </w:pPr>
      <w:r w:rsidRPr="00F81028">
        <w:t xml:space="preserve">Before considering such processes, consider how the tail values of the </w:t>
      </w:r>
      <w:r w:rsidR="008666D6">
        <w:t>sub-penny</w:t>
      </w:r>
      <w:r w:rsidRPr="00F81028">
        <w:t xml:space="preserve"> distribution of </w:t>
      </w:r>
      <m:oMath>
        <m:r>
          <m:rPr>
            <m:sty m:val="p"/>
          </m:rPr>
          <w:rPr>
            <w:rFonts w:ascii="Cambria Math" w:hAnsi="Cambria Math"/>
          </w:rPr>
          <m:t>mod</m:t>
        </m:r>
        <m:d>
          <m:dPr>
            <m:ctrlPr>
              <w:rPr>
                <w:rFonts w:ascii="Cambria Math" w:hAnsi="Cambria Math"/>
                <w:i/>
              </w:rPr>
            </m:ctrlPr>
          </m:dPr>
          <m:e>
            <m:acc>
              <m:accPr>
                <m:ctrlPr>
                  <w:rPr>
                    <w:rFonts w:ascii="Cambria Math" w:hAnsi="Cambria Math"/>
                    <w:i/>
                  </w:rPr>
                </m:ctrlPr>
              </m:accPr>
              <m:e>
                <m:r>
                  <w:rPr>
                    <w:rFonts w:ascii="Cambria Math" w:hAnsi="Cambria Math"/>
                  </w:rPr>
                  <m:t>V</m:t>
                </m:r>
              </m:e>
            </m:acc>
            <m:r>
              <w:rPr>
                <w:rFonts w:ascii="Cambria Math" w:hAnsi="Cambria Math"/>
              </w:rPr>
              <m:t>,1¢</m:t>
            </m:r>
          </m:e>
        </m:d>
      </m:oMath>
      <w:r w:rsidRPr="00F81028">
        <w:t xml:space="preserve"> arise</w:t>
      </w:r>
      <w:r w:rsidR="00734BF9">
        <w:t xml:space="preserve"> in one-tick markets</w:t>
      </w:r>
      <w:r w:rsidRPr="00F81028">
        <w:t xml:space="preserve">.  For </w:t>
      </w:r>
      <m:oMath>
        <m:r>
          <w:rPr>
            <w:rFonts w:ascii="Cambria Math" w:hAnsi="Cambria Math"/>
          </w:rPr>
          <m:t>V</m:t>
        </m:r>
      </m:oMath>
      <w:r w:rsidRPr="00F81028">
        <w:t xml:space="preserve"> in </w:t>
      </w:r>
      <w:r w:rsidR="00C206C1">
        <w:t xml:space="preserve">the range </w:t>
      </w:r>
      <m:oMath>
        <m:d>
          <m:dPr>
            <m:begChr m:val="["/>
            <m:endChr m:val="]"/>
            <m:ctrlPr>
              <w:rPr>
                <w:rFonts w:ascii="Cambria Math" w:hAnsi="Cambria Math"/>
                <w:i/>
              </w:rPr>
            </m:ctrlPr>
          </m:dPr>
          <m:e>
            <m:r>
              <w:rPr>
                <w:rFonts w:ascii="Cambria Math" w:hAnsi="Cambria Math"/>
              </w:rPr>
              <m:t>Ask-c,Ask+c</m:t>
            </m:r>
          </m:e>
        </m:d>
        <m:r>
          <w:rPr>
            <w:rFonts w:ascii="Cambria Math" w:hAnsi="Cambria Math"/>
          </w:rPr>
          <m:t>,</m:t>
        </m:r>
      </m:oMath>
      <w:r w:rsidRPr="00F81028">
        <w:t xml:space="preserve"> </w:t>
      </w:r>
      <w:r w:rsidR="00C206C1">
        <w:t xml:space="preserve">any </w:t>
      </w:r>
      <w:r w:rsidRPr="00F81028">
        <w:t xml:space="preserve">value </w:t>
      </w:r>
      <w:r w:rsidR="00561618">
        <w:t xml:space="preserve">that </w:t>
      </w:r>
      <w:r w:rsidR="00AF7312">
        <w:t xml:space="preserve">can be implied from a quote </w:t>
      </w:r>
      <w:r w:rsidRPr="00F81028">
        <w:t xml:space="preserve">in the market </w:t>
      </w:r>
      <m:oMath>
        <m:r>
          <w:rPr>
            <w:rFonts w:ascii="Cambria Math" w:hAnsi="Cambria Math"/>
          </w:rPr>
          <m:t>{Bid,Ask}</m:t>
        </m:r>
      </m:oMath>
      <w:r w:rsidRPr="00F81028">
        <w:t xml:space="preserve"> </w:t>
      </w:r>
      <w:r w:rsidR="00561618">
        <w:t xml:space="preserve">can also be implied </w:t>
      </w:r>
      <w:r w:rsidR="00AF7312">
        <w:t>from a quote</w:t>
      </w:r>
      <w:r w:rsidRPr="00F81028">
        <w:t xml:space="preserve"> in the </w:t>
      </w:r>
      <w:proofErr w:type="gramStart"/>
      <w:r w:rsidRPr="00F81028">
        <w:t xml:space="preserve">market </w:t>
      </w:r>
      <w:proofErr w:type="gramEnd"/>
      <m:oMath>
        <m:r>
          <w:rPr>
            <w:rFonts w:ascii="Cambria Math" w:hAnsi="Cambria Math"/>
          </w:rPr>
          <m:t>{Bid+1,Ask+1}</m:t>
        </m:r>
      </m:oMath>
      <w:r w:rsidR="00561618">
        <w:t xml:space="preserve">.  </w:t>
      </w:r>
      <m:oMath>
        <m:r>
          <m:rPr>
            <m:sty m:val="p"/>
          </m:rPr>
          <w:rPr>
            <w:rFonts w:ascii="Cambria Math" w:hAnsi="Cambria Math"/>
          </w:rPr>
          <m:t>Mod</m:t>
        </m:r>
        <m:d>
          <m:dPr>
            <m:ctrlPr>
              <w:rPr>
                <w:rFonts w:ascii="Cambria Math" w:hAnsi="Cambria Math"/>
                <w:i/>
              </w:rPr>
            </m:ctrlPr>
          </m:dPr>
          <m:e>
            <m:acc>
              <m:accPr>
                <m:ctrlPr>
                  <w:rPr>
                    <w:rFonts w:ascii="Cambria Math" w:hAnsi="Cambria Math"/>
                    <w:i/>
                  </w:rPr>
                </m:ctrlPr>
              </m:accPr>
              <m:e>
                <m:r>
                  <w:rPr>
                    <w:rFonts w:ascii="Cambria Math" w:hAnsi="Cambria Math"/>
                  </w:rPr>
                  <m:t>V</m:t>
                </m:r>
              </m:e>
            </m:acc>
            <m:r>
              <w:rPr>
                <w:rFonts w:ascii="Cambria Math" w:hAnsi="Cambria Math"/>
              </w:rPr>
              <m:t>,1¢</m:t>
            </m:r>
          </m:e>
        </m:d>
      </m:oMath>
      <w:r w:rsidRPr="00F81028">
        <w:t xml:space="preserve"> </w:t>
      </w:r>
      <w:proofErr w:type="gramStart"/>
      <w:r w:rsidRPr="00F81028">
        <w:t>will</w:t>
      </w:r>
      <w:proofErr w:type="gramEnd"/>
      <w:r w:rsidRPr="00F81028">
        <w:t xml:space="preserve"> </w:t>
      </w:r>
      <w:r w:rsidR="00261FD0">
        <w:t xml:space="preserve">be in the right tail of the </w:t>
      </w:r>
      <w:r w:rsidR="008666D6">
        <w:t>sub-penny</w:t>
      </w:r>
      <w:r w:rsidR="00261FD0">
        <w:t xml:space="preserve"> distribution</w:t>
      </w:r>
      <w:r w:rsidR="00561618">
        <w:t xml:space="preserve"> in the former case </w:t>
      </w:r>
      <w:r w:rsidR="00392F89">
        <w:t xml:space="preserve">and </w:t>
      </w:r>
      <w:r w:rsidR="00561618">
        <w:t xml:space="preserve">in the </w:t>
      </w:r>
      <w:r w:rsidR="00261FD0">
        <w:t>left tail in the latter case</w:t>
      </w:r>
      <w:r w:rsidR="00F96696">
        <w:t xml:space="preserve">.  </w:t>
      </w:r>
      <w:r w:rsidRPr="00F81028">
        <w:t xml:space="preserve">Note also that for </w:t>
      </w:r>
      <m:oMath>
        <m:r>
          <w:rPr>
            <w:rFonts w:ascii="Cambria Math" w:hAnsi="Cambria Math"/>
          </w:rPr>
          <m:t>V</m:t>
        </m:r>
      </m:oMath>
      <w:r w:rsidRPr="00F81028">
        <w:t xml:space="preserve"> in </w:t>
      </w:r>
      <w:r w:rsidR="00F96696">
        <w:t xml:space="preserve">the range </w:t>
      </w:r>
      <m:oMath>
        <m:d>
          <m:dPr>
            <m:begChr m:val="["/>
            <m:endChr m:val="]"/>
            <m:ctrlPr>
              <w:rPr>
                <w:rFonts w:ascii="Cambria Math" w:hAnsi="Cambria Math"/>
                <w:i/>
              </w:rPr>
            </m:ctrlPr>
          </m:dPr>
          <m:e>
            <m:r>
              <w:rPr>
                <w:rFonts w:ascii="Cambria Math" w:hAnsi="Cambria Math"/>
              </w:rPr>
              <m:t>Bid-c,Bid+c</m:t>
            </m:r>
          </m:e>
        </m:d>
        <m:r>
          <w:rPr>
            <w:rFonts w:ascii="Cambria Math" w:hAnsi="Cambria Math"/>
          </w:rPr>
          <m:t>,</m:t>
        </m:r>
      </m:oMath>
      <w:r w:rsidRPr="00F81028">
        <w:t xml:space="preserve"> </w:t>
      </w:r>
      <w:r w:rsidR="00ED5E07">
        <w:t xml:space="preserve">any </w:t>
      </w:r>
      <w:r w:rsidRPr="00F81028">
        <w:t xml:space="preserve">value </w:t>
      </w:r>
      <w:r w:rsidR="001B4667">
        <w:t xml:space="preserve">that </w:t>
      </w:r>
      <w:r w:rsidRPr="00F81028">
        <w:t xml:space="preserve">can be </w:t>
      </w:r>
      <w:r w:rsidR="001B4667">
        <w:t xml:space="preserve">implied from a quote </w:t>
      </w:r>
      <w:r w:rsidRPr="00F81028">
        <w:t xml:space="preserve">in the market </w:t>
      </w:r>
      <m:oMath>
        <m:r>
          <w:rPr>
            <w:rFonts w:ascii="Cambria Math" w:hAnsi="Cambria Math"/>
          </w:rPr>
          <m:t>{Bid,Ask}</m:t>
        </m:r>
      </m:oMath>
      <w:r w:rsidRPr="00F81028">
        <w:t xml:space="preserve"> </w:t>
      </w:r>
      <w:r w:rsidR="001B4667">
        <w:t xml:space="preserve">can also be implied from a quote </w:t>
      </w:r>
      <w:r w:rsidRPr="00F81028">
        <w:t xml:space="preserve">in the </w:t>
      </w:r>
      <w:proofErr w:type="gramStart"/>
      <w:r w:rsidRPr="00F81028">
        <w:t xml:space="preserve">market </w:t>
      </w:r>
      <w:proofErr w:type="gramEnd"/>
      <m:oMath>
        <m:r>
          <w:rPr>
            <w:rFonts w:ascii="Cambria Math" w:hAnsi="Cambria Math"/>
          </w:rPr>
          <m:t>{Bid-1</m:t>
        </m:r>
        <m:r>
          <m:rPr>
            <m:sty m:val="p"/>
          </m:rPr>
          <w:rPr>
            <w:rFonts w:ascii="Cambria Math" w:hAnsi="Cambria Math" w:cstheme="minorHAnsi"/>
          </w:rPr>
          <m:t>¢</m:t>
        </m:r>
        <m:r>
          <w:rPr>
            <w:rFonts w:ascii="Cambria Math" w:hAnsi="Cambria Math"/>
          </w:rPr>
          <m:t>,Ask-1</m:t>
        </m:r>
        <m:r>
          <m:rPr>
            <m:sty m:val="p"/>
          </m:rPr>
          <w:rPr>
            <w:rFonts w:ascii="Cambria Math" w:hAnsi="Cambria Math" w:cstheme="minorHAnsi"/>
          </w:rPr>
          <m:t>¢</m:t>
        </m:r>
        <m:r>
          <w:rPr>
            <w:rFonts w:ascii="Cambria Math" w:hAnsi="Cambria Math"/>
          </w:rPr>
          <m:t>}</m:t>
        </m:r>
      </m:oMath>
      <w:r w:rsidRPr="00F81028">
        <w:t xml:space="preserve">.  </w:t>
      </w:r>
      <m:oMath>
        <m:r>
          <m:rPr>
            <m:sty m:val="p"/>
          </m:rPr>
          <w:rPr>
            <w:rFonts w:ascii="Cambria Math" w:hAnsi="Cambria Math"/>
          </w:rPr>
          <m:t>Mod</m:t>
        </m:r>
        <m:d>
          <m:dPr>
            <m:ctrlPr>
              <w:rPr>
                <w:rFonts w:ascii="Cambria Math" w:hAnsi="Cambria Math"/>
                <w:i/>
              </w:rPr>
            </m:ctrlPr>
          </m:dPr>
          <m:e>
            <m:acc>
              <m:accPr>
                <m:ctrlPr>
                  <w:rPr>
                    <w:rFonts w:ascii="Cambria Math" w:hAnsi="Cambria Math"/>
                    <w:i/>
                  </w:rPr>
                </m:ctrlPr>
              </m:accPr>
              <m:e>
                <m:r>
                  <w:rPr>
                    <w:rFonts w:ascii="Cambria Math" w:hAnsi="Cambria Math"/>
                  </w:rPr>
                  <m:t>V</m:t>
                </m:r>
              </m:e>
            </m:acc>
            <m:r>
              <w:rPr>
                <w:rFonts w:ascii="Cambria Math" w:hAnsi="Cambria Math"/>
              </w:rPr>
              <m:t>,1¢</m:t>
            </m:r>
          </m:e>
        </m:d>
      </m:oMath>
      <w:r w:rsidR="00392F89" w:rsidRPr="00F81028">
        <w:t xml:space="preserve"> </w:t>
      </w:r>
      <w:proofErr w:type="gramStart"/>
      <w:r w:rsidR="00392F89" w:rsidRPr="00F81028">
        <w:t>will</w:t>
      </w:r>
      <w:proofErr w:type="gramEnd"/>
      <w:r w:rsidR="00392F89" w:rsidRPr="00F81028">
        <w:t xml:space="preserve"> </w:t>
      </w:r>
      <w:r w:rsidR="00392F89">
        <w:t xml:space="preserve">be in the left tail of the </w:t>
      </w:r>
      <w:r w:rsidR="008666D6">
        <w:t>sub-penny</w:t>
      </w:r>
      <w:r w:rsidR="00392F89">
        <w:t xml:space="preserve"> distribution in the former case and in the right tail in the latter case.  </w:t>
      </w:r>
      <w:r w:rsidRPr="00F81028">
        <w:t xml:space="preserve">Thus </w:t>
      </w:r>
      <m:oMath>
        <m:r>
          <m:rPr>
            <m:sty m:val="p"/>
          </m:rPr>
          <w:rPr>
            <w:rFonts w:ascii="Cambria Math" w:hAnsi="Cambria Math"/>
          </w:rPr>
          <m:t>mod</m:t>
        </m:r>
        <m:d>
          <m:dPr>
            <m:ctrlPr>
              <w:rPr>
                <w:rFonts w:ascii="Cambria Math" w:hAnsi="Cambria Math"/>
                <w:i/>
              </w:rPr>
            </m:ctrlPr>
          </m:dPr>
          <m:e>
            <m:acc>
              <m:accPr>
                <m:ctrlPr>
                  <w:rPr>
                    <w:rFonts w:ascii="Cambria Math" w:hAnsi="Cambria Math"/>
                    <w:i/>
                  </w:rPr>
                </m:ctrlPr>
              </m:accPr>
              <m:e>
                <m:r>
                  <w:rPr>
                    <w:rFonts w:ascii="Cambria Math" w:hAnsi="Cambria Math"/>
                  </w:rPr>
                  <m:t>V</m:t>
                </m:r>
              </m:e>
            </m:acc>
            <m:r>
              <w:rPr>
                <w:rFonts w:ascii="Cambria Math" w:hAnsi="Cambria Math"/>
              </w:rPr>
              <m:t>,1¢</m:t>
            </m:r>
          </m:e>
        </m:d>
      </m:oMath>
      <w:r w:rsidRPr="00F81028">
        <w:t xml:space="preserve"> values in the </w:t>
      </w:r>
      <w:r w:rsidR="00C95C4F">
        <w:t>right tail</w:t>
      </w:r>
      <w:r w:rsidRPr="00F81028">
        <w:t xml:space="preserve"> can arise when the market is</w:t>
      </w:r>
      <w:r w:rsidR="00C95C4F">
        <w:t xml:space="preserve"> </w:t>
      </w:r>
      <m:oMath>
        <m:r>
          <w:rPr>
            <w:rFonts w:ascii="Cambria Math" w:hAnsi="Cambria Math"/>
          </w:rPr>
          <m:t>{Bid,Ask}</m:t>
        </m:r>
      </m:oMath>
      <w:r w:rsidRPr="00F81028">
        <w:t xml:space="preserve"> and </w:t>
      </w:r>
      <m:oMath>
        <m:r>
          <w:rPr>
            <w:rFonts w:ascii="Cambria Math" w:hAnsi="Cambria Math"/>
          </w:rPr>
          <m:t>V</m:t>
        </m:r>
      </m:oMath>
      <w:r w:rsidRPr="00F81028">
        <w:t xml:space="preserve"> is in </w:t>
      </w:r>
      <m:oMath>
        <m:d>
          <m:dPr>
            <m:begChr m:val="["/>
            <m:endChr m:val="]"/>
            <m:ctrlPr>
              <w:rPr>
                <w:rFonts w:ascii="Cambria Math" w:hAnsi="Cambria Math"/>
                <w:i/>
              </w:rPr>
            </m:ctrlPr>
          </m:dPr>
          <m:e>
            <m:r>
              <w:rPr>
                <w:rFonts w:ascii="Cambria Math" w:hAnsi="Cambria Math"/>
              </w:rPr>
              <m:t>Ask-c,Ask+c</m:t>
            </m:r>
          </m:e>
        </m:d>
      </m:oMath>
      <w:r w:rsidRPr="00F81028">
        <w:t xml:space="preserve"> or when the market is </w:t>
      </w:r>
      <m:oMath>
        <m:r>
          <w:rPr>
            <w:rFonts w:ascii="Cambria Math" w:hAnsi="Cambria Math"/>
          </w:rPr>
          <m:t>{Bid-1</m:t>
        </m:r>
        <m:r>
          <m:rPr>
            <m:sty m:val="p"/>
          </m:rPr>
          <w:rPr>
            <w:rFonts w:ascii="Cambria Math" w:hAnsi="Cambria Math" w:cstheme="minorHAnsi"/>
          </w:rPr>
          <m:t>¢</m:t>
        </m:r>
        <m:r>
          <w:rPr>
            <w:rFonts w:ascii="Cambria Math" w:hAnsi="Cambria Math"/>
          </w:rPr>
          <m:t>,Ask-1</m:t>
        </m:r>
        <m:r>
          <m:rPr>
            <m:sty m:val="p"/>
          </m:rPr>
          <w:rPr>
            <w:rFonts w:ascii="Cambria Math" w:hAnsi="Cambria Math" w:cstheme="minorHAnsi"/>
          </w:rPr>
          <m:t>¢</m:t>
        </m:r>
        <m:r>
          <w:rPr>
            <w:rFonts w:ascii="Cambria Math" w:hAnsi="Cambria Math"/>
          </w:rPr>
          <m:t>}</m:t>
        </m:r>
      </m:oMath>
      <w:r w:rsidRPr="00F81028">
        <w:t xml:space="preserve"> and </w:t>
      </w:r>
      <m:oMath>
        <m:r>
          <w:rPr>
            <w:rFonts w:ascii="Cambria Math" w:hAnsi="Cambria Math"/>
          </w:rPr>
          <m:t>V</m:t>
        </m:r>
      </m:oMath>
      <w:r w:rsidRPr="00F81028">
        <w:t xml:space="preserve"> is </w:t>
      </w:r>
      <w:proofErr w:type="gramStart"/>
      <w:r w:rsidRPr="00F81028">
        <w:t xml:space="preserve">in </w:t>
      </w:r>
      <w:proofErr w:type="gramEnd"/>
      <m:oMath>
        <m:d>
          <m:dPr>
            <m:begChr m:val="["/>
            <m:endChr m:val="]"/>
            <m:ctrlPr>
              <w:rPr>
                <w:rFonts w:ascii="Cambria Math" w:hAnsi="Cambria Math"/>
                <w:i/>
              </w:rPr>
            </m:ctrlPr>
          </m:dPr>
          <m:e>
            <m:r>
              <w:rPr>
                <w:rFonts w:ascii="Cambria Math" w:hAnsi="Cambria Math"/>
              </w:rPr>
              <m:t>Bid-c,Bid+c</m:t>
            </m:r>
          </m:e>
        </m:d>
      </m:oMath>
      <w:r w:rsidRPr="00F81028">
        <w:t xml:space="preserve">.  Likewise, </w:t>
      </w:r>
      <m:oMath>
        <m:r>
          <m:rPr>
            <m:sty m:val="p"/>
          </m:rPr>
          <w:rPr>
            <w:rFonts w:ascii="Cambria Math" w:hAnsi="Cambria Math"/>
          </w:rPr>
          <m:t>mod</m:t>
        </m:r>
        <m:d>
          <m:dPr>
            <m:ctrlPr>
              <w:rPr>
                <w:rFonts w:ascii="Cambria Math" w:hAnsi="Cambria Math"/>
                <w:i/>
              </w:rPr>
            </m:ctrlPr>
          </m:dPr>
          <m:e>
            <m:acc>
              <m:accPr>
                <m:ctrlPr>
                  <w:rPr>
                    <w:rFonts w:ascii="Cambria Math" w:hAnsi="Cambria Math"/>
                    <w:i/>
                  </w:rPr>
                </m:ctrlPr>
              </m:accPr>
              <m:e>
                <m:r>
                  <w:rPr>
                    <w:rFonts w:ascii="Cambria Math" w:hAnsi="Cambria Math"/>
                  </w:rPr>
                  <m:t>V</m:t>
                </m:r>
              </m:e>
            </m:acc>
            <m:r>
              <w:rPr>
                <w:rFonts w:ascii="Cambria Math" w:hAnsi="Cambria Math"/>
              </w:rPr>
              <m:t>,1¢</m:t>
            </m:r>
          </m:e>
        </m:d>
      </m:oMath>
      <w:r w:rsidRPr="00F81028">
        <w:t xml:space="preserve"> values in the </w:t>
      </w:r>
      <w:r w:rsidR="00113BC6">
        <w:t xml:space="preserve">left tail </w:t>
      </w:r>
      <w:r w:rsidRPr="00F81028">
        <w:t xml:space="preserve">can arise when the market is </w:t>
      </w:r>
      <w:r w:rsidR="00A25FE7">
        <w:t>{</w:t>
      </w:r>
      <m:oMath>
        <m:r>
          <w:rPr>
            <w:rFonts w:ascii="Cambria Math" w:hAnsi="Cambria Math"/>
          </w:rPr>
          <m:t>Bid,Ask}</m:t>
        </m:r>
      </m:oMath>
      <w:r w:rsidRPr="00F81028">
        <w:t xml:space="preserve"> and </w:t>
      </w:r>
      <m:oMath>
        <m:r>
          <w:rPr>
            <w:rFonts w:ascii="Cambria Math" w:hAnsi="Cambria Math"/>
          </w:rPr>
          <m:t>V</m:t>
        </m:r>
      </m:oMath>
      <w:r w:rsidRPr="00F81028">
        <w:t xml:space="preserve"> is in </w:t>
      </w:r>
      <m:oMath>
        <m:d>
          <m:dPr>
            <m:begChr m:val="["/>
            <m:endChr m:val="]"/>
            <m:ctrlPr>
              <w:rPr>
                <w:rFonts w:ascii="Cambria Math" w:hAnsi="Cambria Math"/>
                <w:i/>
              </w:rPr>
            </m:ctrlPr>
          </m:dPr>
          <m:e>
            <m:r>
              <w:rPr>
                <w:rFonts w:ascii="Cambria Math" w:hAnsi="Cambria Math"/>
              </w:rPr>
              <m:t>Bid-c,Bid+c</m:t>
            </m:r>
          </m:e>
        </m:d>
      </m:oMath>
      <w:r w:rsidRPr="00F81028">
        <w:t xml:space="preserve"> or when the market is </w:t>
      </w:r>
      <m:oMath>
        <m:r>
          <w:rPr>
            <w:rFonts w:ascii="Cambria Math" w:hAnsi="Cambria Math"/>
          </w:rPr>
          <m:t>{Bid+1</m:t>
        </m:r>
        <m:r>
          <m:rPr>
            <m:sty m:val="p"/>
          </m:rPr>
          <w:rPr>
            <w:rFonts w:ascii="Cambria Math" w:hAnsi="Cambria Math" w:cstheme="minorHAnsi"/>
          </w:rPr>
          <m:t>¢</m:t>
        </m:r>
        <m:r>
          <w:rPr>
            <w:rFonts w:ascii="Cambria Math" w:hAnsi="Cambria Math"/>
          </w:rPr>
          <m:t>,Ask+1</m:t>
        </m:r>
        <m:r>
          <m:rPr>
            <m:sty m:val="p"/>
          </m:rPr>
          <w:rPr>
            <w:rFonts w:ascii="Cambria Math" w:hAnsi="Cambria Math" w:cstheme="minorHAnsi"/>
          </w:rPr>
          <m:t>¢</m:t>
        </m:r>
        <m:r>
          <w:rPr>
            <w:rFonts w:ascii="Cambria Math" w:hAnsi="Cambria Math"/>
          </w:rPr>
          <m:t>}</m:t>
        </m:r>
      </m:oMath>
      <w:r w:rsidRPr="00F81028">
        <w:t xml:space="preserve"> and </w:t>
      </w:r>
      <m:oMath>
        <m:r>
          <w:rPr>
            <w:rFonts w:ascii="Cambria Math" w:hAnsi="Cambria Math"/>
          </w:rPr>
          <m:t>V</m:t>
        </m:r>
      </m:oMath>
      <w:r w:rsidRPr="00F81028">
        <w:t xml:space="preserve"> is </w:t>
      </w:r>
      <w:proofErr w:type="gramStart"/>
      <w:r w:rsidRPr="00F81028">
        <w:t xml:space="preserve">in </w:t>
      </w:r>
      <w:proofErr w:type="gramEnd"/>
      <m:oMath>
        <m:d>
          <m:dPr>
            <m:begChr m:val="["/>
            <m:endChr m:val="]"/>
            <m:ctrlPr>
              <w:rPr>
                <w:rFonts w:ascii="Cambria Math" w:hAnsi="Cambria Math"/>
                <w:i/>
              </w:rPr>
            </m:ctrlPr>
          </m:dPr>
          <m:e>
            <m:r>
              <w:rPr>
                <w:rFonts w:ascii="Cambria Math" w:hAnsi="Cambria Math"/>
              </w:rPr>
              <m:t>Ask-c,Ask+c</m:t>
            </m:r>
          </m:e>
        </m:d>
      </m:oMath>
      <w:r w:rsidRPr="00F81028">
        <w:t xml:space="preserve">.  </w:t>
      </w:r>
    </w:p>
    <w:p w:rsidR="00DE4AA0" w:rsidRPr="00F81028" w:rsidRDefault="009A5F5E" w:rsidP="000042E4">
      <w:pPr>
        <w:pStyle w:val="BodyText"/>
      </w:pPr>
      <w:proofErr w:type="gramStart"/>
      <w:r>
        <w:t>P</w:t>
      </w:r>
      <w:r w:rsidR="00DE4AA0" w:rsidRPr="00F81028">
        <w:t>rocess</w:t>
      </w:r>
      <w:r>
        <w:t>es</w:t>
      </w:r>
      <w:r w:rsidR="00DE4AA0" w:rsidRPr="00F81028">
        <w:t xml:space="preserve"> that cause quotes to shift up or down </w:t>
      </w:r>
      <w:r>
        <w:t xml:space="preserve">presumably </w:t>
      </w:r>
      <w:r w:rsidR="00DE4AA0" w:rsidRPr="00F81028">
        <w:t>depend on true value</w:t>
      </w:r>
      <w:r>
        <w:t>.</w:t>
      </w:r>
      <w:proofErr w:type="gramEnd"/>
      <w:r>
        <w:t xml:space="preserve">  (They also may depend on market structure frictions</w:t>
      </w:r>
      <w:r w:rsidR="00DE4AA0" w:rsidRPr="00F81028">
        <w:t>.</w:t>
      </w:r>
      <w:r>
        <w:t>)</w:t>
      </w:r>
      <w:r w:rsidR="00DE4AA0" w:rsidRPr="00F81028">
        <w:t xml:space="preserve">  If true value rises </w:t>
      </w:r>
      <w:proofErr w:type="gramStart"/>
      <w:r w:rsidR="00DE4AA0" w:rsidRPr="00F81028">
        <w:t xml:space="preserve">above </w:t>
      </w:r>
      <w:proofErr w:type="gramEnd"/>
      <m:oMath>
        <m:r>
          <w:rPr>
            <w:rFonts w:ascii="Cambria Math" w:hAnsi="Cambria Math"/>
          </w:rPr>
          <m:t>Ask+c</m:t>
        </m:r>
      </m:oMath>
      <w:r w:rsidR="00DE4AA0" w:rsidRPr="00F81028">
        <w:t xml:space="preserve">, the market must shift up to express the higher values.  Likewise, if true value falls </w:t>
      </w:r>
      <w:proofErr w:type="gramStart"/>
      <w:r w:rsidR="00DE4AA0" w:rsidRPr="00F81028">
        <w:t xml:space="preserve">below </w:t>
      </w:r>
      <w:proofErr w:type="gramEnd"/>
      <m:oMath>
        <m:r>
          <w:rPr>
            <w:rFonts w:ascii="Cambria Math" w:hAnsi="Cambria Math"/>
          </w:rPr>
          <m:t>Bid-c</m:t>
        </m:r>
      </m:oMath>
      <w:r w:rsidR="00DE4AA0" w:rsidRPr="00F81028">
        <w:t>, the market must s</w:t>
      </w:r>
      <w:r w:rsidR="00D70FA1">
        <w:t>h</w:t>
      </w:r>
      <w:r w:rsidR="00DE4AA0" w:rsidRPr="00F81028">
        <w:t xml:space="preserve">ift down to express the lower values.  In </w:t>
      </w:r>
      <w:r w:rsidR="001F7EDE" w:rsidRPr="00F81028">
        <w:t xml:space="preserve">the </w:t>
      </w:r>
      <w:proofErr w:type="gramStart"/>
      <w:r w:rsidR="001F7EDE" w:rsidRPr="00F81028">
        <w:t xml:space="preserve">range </w:t>
      </w:r>
      <w:proofErr w:type="gramEnd"/>
      <m:oMath>
        <m:r>
          <w:rPr>
            <w:rFonts w:ascii="Cambria Math" w:hAnsi="Cambria Math"/>
          </w:rPr>
          <m:t>[Ask-c,Ask+c]</m:t>
        </m:r>
      </m:oMath>
      <w:r w:rsidR="00DE4AA0" w:rsidRPr="00F81028">
        <w:t xml:space="preserve">, the probability of shifting up </w:t>
      </w:r>
      <w:r w:rsidR="00171328">
        <w:t xml:space="preserve">could be reasonably modeled </w:t>
      </w:r>
      <w:r w:rsidR="00DE4AA0" w:rsidRPr="00F81028">
        <w:t xml:space="preserve">as an increasing function of </w:t>
      </w:r>
      <m:oMath>
        <m:r>
          <w:rPr>
            <w:rFonts w:ascii="Cambria Math" w:hAnsi="Cambria Math"/>
          </w:rPr>
          <m:t>V</m:t>
        </m:r>
      </m:oMath>
      <w:r w:rsidR="00DE4AA0" w:rsidRPr="00F81028">
        <w:t xml:space="preserve">.  Likewise, </w:t>
      </w:r>
      <w:r w:rsidR="001F7EDE" w:rsidRPr="00F81028">
        <w:t xml:space="preserve">in the range </w:t>
      </w:r>
      <m:oMath>
        <m:d>
          <m:dPr>
            <m:begChr m:val="["/>
            <m:endChr m:val="]"/>
            <m:ctrlPr>
              <w:rPr>
                <w:rFonts w:ascii="Cambria Math" w:hAnsi="Cambria Math"/>
                <w:i/>
              </w:rPr>
            </m:ctrlPr>
          </m:dPr>
          <m:e>
            <m:r>
              <w:rPr>
                <w:rFonts w:ascii="Cambria Math" w:hAnsi="Cambria Math"/>
              </w:rPr>
              <m:t>Bid-c,Bid+c</m:t>
            </m:r>
          </m:e>
        </m:d>
        <m:r>
          <w:rPr>
            <w:rFonts w:ascii="Cambria Math" w:hAnsi="Cambria Math"/>
          </w:rPr>
          <m:t>,</m:t>
        </m:r>
      </m:oMath>
      <w:r w:rsidR="001F7EDE" w:rsidRPr="00F81028">
        <w:t xml:space="preserve"> </w:t>
      </w:r>
      <w:r w:rsidR="00DE4AA0" w:rsidRPr="00F81028">
        <w:t xml:space="preserve">the probability of shifting down could be modeled as a decreasing function </w:t>
      </w:r>
      <w:proofErr w:type="gramStart"/>
      <w:r w:rsidR="00DE4AA0" w:rsidRPr="00F81028">
        <w:t xml:space="preserve">of </w:t>
      </w:r>
      <w:proofErr w:type="gramEnd"/>
      <m:oMath>
        <m:r>
          <w:rPr>
            <w:rFonts w:ascii="Cambria Math" w:hAnsi="Cambria Math"/>
          </w:rPr>
          <m:t>V</m:t>
        </m:r>
      </m:oMath>
      <w:r w:rsidR="001F7EDE">
        <w:t>.</w:t>
      </w:r>
    </w:p>
    <w:p w:rsidR="00DE4AA0" w:rsidRPr="00F81028" w:rsidRDefault="00DE4AA0" w:rsidP="000042E4">
      <w:pPr>
        <w:pStyle w:val="BodyText"/>
      </w:pPr>
      <w:r w:rsidRPr="00F81028">
        <w:t xml:space="preserve">Note that the two functions need not be mirror images of each other, though </w:t>
      </w:r>
      <w:r w:rsidR="00EC30F3">
        <w:t xml:space="preserve">such a property </w:t>
      </w:r>
      <w:r w:rsidRPr="00F81028">
        <w:t xml:space="preserve">would be reasonable </w:t>
      </w:r>
      <w:r w:rsidR="00EC30F3">
        <w:t xml:space="preserve">because </w:t>
      </w:r>
      <w:r w:rsidRPr="00F81028">
        <w:t xml:space="preserve">the probability of shifting up when </w:t>
      </w:r>
      <m:oMath>
        <m:r>
          <w:rPr>
            <w:rFonts w:ascii="Cambria Math" w:hAnsi="Cambria Math"/>
          </w:rPr>
          <m:t>V</m:t>
        </m:r>
      </m:oMath>
      <w:r w:rsidRPr="00F81028">
        <w:t xml:space="preserve"> is in the range </w:t>
      </w:r>
      <m:oMath>
        <m:d>
          <m:dPr>
            <m:begChr m:val="["/>
            <m:endChr m:val="]"/>
            <m:ctrlPr>
              <w:rPr>
                <w:rFonts w:ascii="Cambria Math" w:hAnsi="Cambria Math"/>
                <w:i/>
              </w:rPr>
            </m:ctrlPr>
          </m:dPr>
          <m:e>
            <m:r>
              <w:rPr>
                <w:rFonts w:ascii="Cambria Math" w:hAnsi="Cambria Math"/>
              </w:rPr>
              <m:t>Ask-c,Ask+c</m:t>
            </m:r>
          </m:e>
        </m:d>
      </m:oMath>
      <w:r w:rsidRPr="00F81028">
        <w:t xml:space="preserve"> should be related to the probability of shifting down when </w:t>
      </w:r>
      <m:oMath>
        <m:r>
          <w:rPr>
            <w:rFonts w:ascii="Cambria Math" w:hAnsi="Cambria Math"/>
          </w:rPr>
          <m:t>V</m:t>
        </m:r>
      </m:oMath>
      <w:r w:rsidRPr="00F81028">
        <w:t xml:space="preserve"> is in the same range </w:t>
      </w:r>
      <m:oMath>
        <m:d>
          <m:dPr>
            <m:begChr m:val="["/>
            <m:endChr m:val="]"/>
            <m:ctrlPr>
              <w:rPr>
                <w:rFonts w:ascii="Cambria Math" w:hAnsi="Cambria Math"/>
                <w:i/>
              </w:rPr>
            </m:ctrlPr>
          </m:dPr>
          <m:e>
            <m:r>
              <w:rPr>
                <w:rFonts w:ascii="Cambria Math" w:hAnsi="Cambria Math"/>
              </w:rPr>
              <m:t>Bid+1</m:t>
            </m:r>
            <m:r>
              <m:rPr>
                <m:sty m:val="p"/>
              </m:rPr>
              <w:rPr>
                <w:rFonts w:ascii="Cambria Math" w:hAnsi="Cambria Math" w:cstheme="minorHAnsi"/>
              </w:rPr>
              <m:t>¢</m:t>
            </m:r>
            <m:r>
              <w:rPr>
                <w:rFonts w:ascii="Cambria Math" w:hAnsi="Cambria Math"/>
              </w:rPr>
              <m:t>-c,Bid+1</m:t>
            </m:r>
            <m:r>
              <m:rPr>
                <m:sty m:val="p"/>
              </m:rPr>
              <w:rPr>
                <w:rFonts w:ascii="Cambria Math" w:hAnsi="Cambria Math" w:cstheme="minorHAnsi"/>
              </w:rPr>
              <m:t>¢</m:t>
            </m:r>
            <m:r>
              <w:rPr>
                <w:rFonts w:ascii="Cambria Math" w:hAnsi="Cambria Math"/>
              </w:rPr>
              <m:t>+c</m:t>
            </m:r>
          </m:e>
        </m:d>
        <m:r>
          <w:rPr>
            <w:rFonts w:ascii="Cambria Math" w:hAnsi="Cambria Math"/>
          </w:rPr>
          <m:t xml:space="preserve">.  </m:t>
        </m:r>
      </m:oMath>
    </w:p>
    <w:p w:rsidR="00DE4AA0" w:rsidRPr="00F81028" w:rsidRDefault="00DE4AA0" w:rsidP="000042E4">
      <w:pPr>
        <w:pStyle w:val="BodyText"/>
        <w:rPr>
          <w:i/>
        </w:rPr>
      </w:pPr>
      <w:r w:rsidRPr="00F81028">
        <w:t xml:space="preserve">As an </w:t>
      </w:r>
      <w:commentRangeStart w:id="15"/>
      <w:r w:rsidRPr="00F81028">
        <w:t>example</w:t>
      </w:r>
      <w:commentRangeEnd w:id="15"/>
      <w:r w:rsidRPr="00F81028">
        <w:rPr>
          <w:sz w:val="16"/>
          <w:szCs w:val="16"/>
        </w:rPr>
        <w:commentReference w:id="15"/>
      </w:r>
      <w:r w:rsidRPr="00F81028">
        <w:t xml:space="preserve">, consider an extreme model for quote changes.  Suppose that quotes are very sticky so that the market does not rise until </w:t>
      </w:r>
      <m:oMath>
        <m:r>
          <w:rPr>
            <w:rFonts w:ascii="Cambria Math" w:hAnsi="Cambria Math"/>
          </w:rPr>
          <m:t>V&gt;Ask+c</m:t>
        </m:r>
      </m:oMath>
      <w:r w:rsidRPr="00F81028">
        <w:t xml:space="preserve"> and does not drop </w:t>
      </w:r>
      <w:proofErr w:type="gramStart"/>
      <w:r w:rsidRPr="00F81028">
        <w:t xml:space="preserve">until </w:t>
      </w:r>
      <w:proofErr w:type="gramEnd"/>
      <m:oMath>
        <m:r>
          <w:rPr>
            <w:rFonts w:ascii="Cambria Math" w:hAnsi="Cambria Math"/>
          </w:rPr>
          <m:t>V&lt;Bid+c</m:t>
        </m:r>
      </m:oMath>
      <w:r w:rsidRPr="00F81028">
        <w:t xml:space="preserve">.  Under this model, the density of </w:t>
      </w:r>
      <m:oMath>
        <m:r>
          <m:rPr>
            <m:sty m:val="p"/>
          </m:rPr>
          <w:rPr>
            <w:rFonts w:ascii="Cambria Math" w:hAnsi="Cambria Math"/>
          </w:rPr>
          <m:t>mod</m:t>
        </m:r>
        <m:d>
          <m:dPr>
            <m:ctrlPr>
              <w:rPr>
                <w:rFonts w:ascii="Cambria Math" w:hAnsi="Cambria Math"/>
                <w:i/>
              </w:rPr>
            </m:ctrlPr>
          </m:dPr>
          <m:e>
            <m:acc>
              <m:accPr>
                <m:ctrlPr>
                  <w:rPr>
                    <w:rFonts w:ascii="Cambria Math" w:hAnsi="Cambria Math"/>
                    <w:i/>
                  </w:rPr>
                </m:ctrlPr>
              </m:accPr>
              <m:e>
                <m:r>
                  <w:rPr>
                    <w:rFonts w:ascii="Cambria Math" w:hAnsi="Cambria Math"/>
                  </w:rPr>
                  <m:t>V</m:t>
                </m:r>
              </m:e>
            </m:acc>
            <m:r>
              <w:rPr>
                <w:rFonts w:ascii="Cambria Math" w:hAnsi="Cambria Math"/>
              </w:rPr>
              <m:t>,1¢</m:t>
            </m:r>
          </m:e>
        </m:d>
      </m:oMath>
      <w:r w:rsidRPr="00F81028">
        <w:t xml:space="preserve"> at its extreme tail values of </w:t>
      </w:r>
      <m:oMath>
        <m:r>
          <w:rPr>
            <w:rFonts w:ascii="Cambria Math" w:hAnsi="Cambria Math"/>
          </w:rPr>
          <m:t>0</m:t>
        </m:r>
        <m:r>
          <m:rPr>
            <m:sty m:val="p"/>
          </m:rPr>
          <w:rPr>
            <w:rFonts w:ascii="Cambria Math" w:hAnsi="Cambria Math" w:cstheme="minorHAnsi"/>
          </w:rPr>
          <m:t>¢</m:t>
        </m:r>
        <m:r>
          <w:rPr>
            <w:rFonts w:ascii="Cambria Math" w:hAnsi="Cambria Math"/>
          </w:rPr>
          <m:t>+ε</m:t>
        </m:r>
      </m:oMath>
      <w:r w:rsidRPr="00F81028">
        <w:t xml:space="preserve"> and </w:t>
      </w:r>
      <m:oMath>
        <m:r>
          <w:rPr>
            <w:rFonts w:ascii="Cambria Math" w:hAnsi="Cambria Math"/>
          </w:rPr>
          <m:t>1</m:t>
        </m:r>
        <m:r>
          <m:rPr>
            <m:sty m:val="p"/>
          </m:rPr>
          <w:rPr>
            <w:rFonts w:ascii="Cambria Math" w:hAnsi="Cambria Math" w:cstheme="minorHAnsi"/>
          </w:rPr>
          <m:t>¢</m:t>
        </m:r>
        <m:r>
          <w:rPr>
            <w:rFonts w:ascii="Cambria Math" w:hAnsi="Cambria Math"/>
          </w:rPr>
          <m:t>-ε</m:t>
        </m:r>
        <m:r>
          <m:rPr>
            <m:sty m:val="p"/>
          </m:rPr>
          <w:rPr>
            <w:rFonts w:ascii="Cambria Math" w:hAnsi="Cambria Math"/>
          </w:rPr>
          <m:t xml:space="preserve"> </m:t>
        </m:r>
      </m:oMath>
      <w:r w:rsidRPr="00F81028">
        <w:t xml:space="preserve">will approach zero as </w:t>
      </w:r>
      <m:oMath>
        <m:r>
          <w:rPr>
            <w:rFonts w:ascii="Cambria Math" w:hAnsi="Cambria Math"/>
          </w:rPr>
          <m:t>ε→0</m:t>
        </m:r>
      </m:oMath>
      <w:r w:rsidRPr="00F81028">
        <w:t xml:space="preserve"> because the probabilities of value changes that arrive exactly on </w:t>
      </w:r>
      <m:oMath>
        <m:r>
          <w:rPr>
            <w:rFonts w:ascii="Cambria Math" w:hAnsi="Cambria Math"/>
          </w:rPr>
          <m:t>Bid+c</m:t>
        </m:r>
      </m:oMath>
      <w:r w:rsidRPr="00F81028">
        <w:t xml:space="preserve"> from above or </w:t>
      </w:r>
      <w:r w:rsidR="00C540E9">
        <w:t xml:space="preserve">on </w:t>
      </w:r>
      <m:oMath>
        <m:r>
          <w:rPr>
            <w:rFonts w:ascii="Cambria Math" w:hAnsi="Cambria Math"/>
          </w:rPr>
          <m:t>Ask-c</m:t>
        </m:r>
      </m:oMath>
      <w:r w:rsidRPr="00F81028">
        <w:t xml:space="preserve"> from below are both zero for any continuous value innovation process (without jumps) or for any discrete value innovation process with small continuous innovations.  These values are only observed if a value change arrives exactly on these values from the proper side.  </w:t>
      </w:r>
      <w:proofErr w:type="gramStart"/>
      <w:r w:rsidRPr="00F81028">
        <w:t>If value overshoots, the quote changes.</w:t>
      </w:r>
      <w:proofErr w:type="gramEnd"/>
      <w:r w:rsidRPr="00F81028">
        <w:t xml:space="preserve">  If it just slightly undershoots </w:t>
      </w:r>
      <w:proofErr w:type="gramStart"/>
      <w:r w:rsidRPr="00F81028">
        <w:t xml:space="preserve">by </w:t>
      </w:r>
      <w:proofErr w:type="gramEnd"/>
      <m:oMath>
        <m:r>
          <w:rPr>
            <w:rFonts w:ascii="Cambria Math" w:hAnsi="Cambria Math"/>
          </w:rPr>
          <m:t>ε</m:t>
        </m:r>
      </m:oMath>
      <w:r w:rsidRPr="00F81028">
        <w:t xml:space="preserve">, the probability of overshooting on the next price change, conditional on a continuation in the direction of the value change, approaches 1 as </w:t>
      </w:r>
      <m:oMath>
        <m:r>
          <w:rPr>
            <w:rFonts w:ascii="Cambria Math" w:hAnsi="Cambria Math"/>
          </w:rPr>
          <m:t>ε→0</m:t>
        </m:r>
      </m:oMath>
      <w:r w:rsidRPr="00F81028">
        <w:t xml:space="preserve">.  </w:t>
      </w:r>
      <w:r w:rsidR="008539CF">
        <w:t xml:space="preserve">Thus the probability of arriving near these points is very low.  </w:t>
      </w:r>
      <w:r w:rsidRPr="00F81028">
        <w:t xml:space="preserve">Assuming again that the value change process is continuous or that it is a discrete process with </w:t>
      </w:r>
      <w:r w:rsidR="00912B26">
        <w:t xml:space="preserve">low variance </w:t>
      </w:r>
      <w:r w:rsidRPr="00F81028">
        <w:t>innovations, the density o</w:t>
      </w:r>
      <w:r w:rsidR="008539CF">
        <w:t>n</w:t>
      </w:r>
      <w:r w:rsidRPr="00F81028">
        <w:t xml:space="preserve"> the other sides of the tails (those adjacent to the uniform middle range) will be the same as the density of the middle range because the probability </w:t>
      </w:r>
      <w:r w:rsidR="00912B26">
        <w:t xml:space="preserve">of a </w:t>
      </w:r>
      <w:r w:rsidR="00A27F6A">
        <w:t xml:space="preserve">value innovation large enough to cause a </w:t>
      </w:r>
      <w:r w:rsidRPr="00F81028">
        <w:t>quote change would be very small.  A simulation study (not reported) suggests that the tail densities are li</w:t>
      </w:r>
      <w:r w:rsidR="007C3833">
        <w:t xml:space="preserve">near under this extreme sticky quote model. </w:t>
      </w:r>
    </w:p>
    <w:p w:rsidR="00C206C1" w:rsidRDefault="00C206C1" w:rsidP="00C206C1">
      <w:pPr>
        <w:pStyle w:val="BodyText"/>
      </w:pPr>
      <w:r>
        <w:t xml:space="preserve">For markets with wider than one-tick spreads, the </w:t>
      </w:r>
      <w:r w:rsidR="008666D6">
        <w:t>sub-penny</w:t>
      </w:r>
      <w:r>
        <w:t xml:space="preserve"> distribution of the adjusted value estimates will be more uniform as the uniform middle range </w:t>
      </w:r>
      <w:r w:rsidR="00725735">
        <w:t xml:space="preserve">in equation (17) is a larger fraction of the spread when the spread is large.  The maker-taker effects on quotations are of fixed absolute size that primarily affects quotations near the bid and ask. </w:t>
      </w:r>
      <w:r w:rsidR="00300D16" w:rsidRPr="00300D16">
        <w:rPr>
          <w:vanish/>
        </w:rPr>
        <w:t>&lt;&lt;Test this&gt;&gt;</w:t>
      </w:r>
    </w:p>
    <w:p w:rsidR="00B14E5E" w:rsidRDefault="00A23287" w:rsidP="00B14E5E">
      <w:pPr>
        <w:pStyle w:val="Heading3"/>
      </w:pPr>
      <w:r>
        <w:t>Bi</w:t>
      </w:r>
      <w:r w:rsidR="00B14E5E" w:rsidRPr="00B14E5E">
        <w:t xml:space="preserve">variate </w:t>
      </w:r>
      <w:r w:rsidR="00B14E5E">
        <w:t>Implications</w:t>
      </w:r>
    </w:p>
    <w:p w:rsidR="009E13D0" w:rsidRDefault="00B14E5E" w:rsidP="000042E4">
      <w:pPr>
        <w:pStyle w:val="BodyText"/>
      </w:pPr>
      <w:r>
        <w:t xml:space="preserve">The </w:t>
      </w:r>
      <w:r w:rsidRPr="00F81028">
        <w:t>impact of maker-taker fees and rebates on prices and quantities</w:t>
      </w:r>
      <w:r w:rsidR="00410058">
        <w:t>, and in particular, the overlapping va</w:t>
      </w:r>
      <w:r w:rsidR="00857F21">
        <w:t>lue range characteristic</w:t>
      </w:r>
      <w:r w:rsidR="00410058">
        <w:t>,</w:t>
      </w:r>
      <w:r w:rsidRPr="00F81028">
        <w:t xml:space="preserve"> </w:t>
      </w:r>
      <w:r w:rsidR="00410058">
        <w:t xml:space="preserve">also affects the bivariate distribution of </w:t>
      </w:r>
      <w:r w:rsidR="008666D6">
        <w:t>sub-penny</w:t>
      </w:r>
      <w:r w:rsidR="00410058">
        <w:t xml:space="preserve"> increments given </w:t>
      </w:r>
      <w:r w:rsidR="009D31E9">
        <w:t xml:space="preserve">previous sub-penny increments.  Assuming that </w:t>
      </w:r>
      <w:r w:rsidR="00FA4DC4">
        <w:t xml:space="preserve">value is uniformly distributed between the discrete ticks and that the value increments are not too correlated, </w:t>
      </w:r>
      <w:r w:rsidR="00B93B43">
        <w:t xml:space="preserve">the contour map </w:t>
      </w:r>
      <w:r w:rsidR="006548F4">
        <w:t xml:space="preserve">of the bivariate </w:t>
      </w:r>
      <w:r w:rsidR="00700BB9">
        <w:t xml:space="preserve">density </w:t>
      </w:r>
      <w:r w:rsidR="006548F4">
        <w:t>of (</w:t>
      </w:r>
      <m:oMath>
        <m:r>
          <m:rPr>
            <m:sty m:val="p"/>
          </m:rPr>
          <w:rPr>
            <w:rFonts w:ascii="Cambria Math" w:hAnsi="Cambria Math"/>
          </w:rPr>
          <m:t>mod</m:t>
        </m:r>
        <m:d>
          <m:dPr>
            <m:ctrlPr>
              <w:rPr>
                <w:rFonts w:ascii="Cambria Math" w:hAnsi="Cambria Math"/>
                <w:i/>
              </w:rPr>
            </m:ctrlPr>
          </m:dPr>
          <m:e>
            <m:sSup>
              <m:sSupPr>
                <m:ctrlPr>
                  <w:rPr>
                    <w:rFonts w:ascii="Cambria Math" w:hAnsi="Cambria Math"/>
                    <w:i/>
                  </w:rPr>
                </m:ctrlPr>
              </m:sSupPr>
              <m:e>
                <m:acc>
                  <m:accPr>
                    <m:ctrlPr>
                      <w:rPr>
                        <w:rFonts w:ascii="Cambria Math" w:hAnsi="Cambria Math"/>
                        <w:i/>
                      </w:rPr>
                    </m:ctrlPr>
                  </m:accPr>
                  <m:e>
                    <m:r>
                      <w:rPr>
                        <w:rFonts w:ascii="Cambria Math" w:hAnsi="Cambria Math"/>
                      </w:rPr>
                      <m:t>V</m:t>
                    </m:r>
                  </m:e>
                </m:acc>
              </m:e>
              <m:sup>
                <m:r>
                  <w:rPr>
                    <w:rFonts w:ascii="Cambria Math" w:hAnsi="Cambria Math"/>
                  </w:rPr>
                  <m:t>a</m:t>
                </m:r>
              </m:sup>
            </m:sSup>
            <m:r>
              <w:rPr>
                <w:rFonts w:ascii="Cambria Math" w:hAnsi="Cambria Math"/>
              </w:rPr>
              <m:t>,1¢</m:t>
            </m:r>
          </m:e>
        </m:d>
        <m:r>
          <w:rPr>
            <w:rFonts w:ascii="Cambria Math" w:hAnsi="Cambria Math"/>
          </w:rPr>
          <m:t>,</m:t>
        </m:r>
        <m:r>
          <m:rPr>
            <m:sty m:val="p"/>
          </m:rPr>
          <w:rPr>
            <w:rFonts w:ascii="Cambria Math" w:hAnsi="Cambria Math"/>
          </w:rPr>
          <m:t>mod</m:t>
        </m:r>
        <m:d>
          <m:dPr>
            <m:ctrlPr>
              <w:rPr>
                <w:rFonts w:ascii="Cambria Math" w:hAnsi="Cambria Math"/>
                <w:i/>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V</m:t>
                    </m:r>
                  </m:e>
                </m:acc>
              </m:e>
              <m:sub>
                <m:r>
                  <w:rPr>
                    <w:rFonts w:ascii="Cambria Math" w:hAnsi="Cambria Math"/>
                  </w:rPr>
                  <m:t>-t</m:t>
                </m:r>
              </m:sub>
              <m:sup>
                <m:r>
                  <w:rPr>
                    <w:rFonts w:ascii="Cambria Math" w:hAnsi="Cambria Math"/>
                  </w:rPr>
                  <m:t>a</m:t>
                </m:r>
              </m:sup>
            </m:sSubSup>
            <m:r>
              <w:rPr>
                <w:rFonts w:ascii="Cambria Math" w:hAnsi="Cambria Math"/>
              </w:rPr>
              <m:t>,1¢</m:t>
            </m:r>
          </m:e>
        </m:d>
      </m:oMath>
      <w:r w:rsidR="006548F4">
        <w:t>)</w:t>
      </w:r>
      <w:r w:rsidR="006548F4" w:rsidRPr="00F81028">
        <w:t xml:space="preserve"> </w:t>
      </w:r>
      <w:r w:rsidR="006548F4">
        <w:t xml:space="preserve">should </w:t>
      </w:r>
      <w:r w:rsidR="00B93B43">
        <w:t xml:space="preserve">simply be a set of </w:t>
      </w:r>
      <w:r w:rsidR="00ED3D7F">
        <w:t>rising 45</w:t>
      </w:r>
      <w:r w:rsidR="00ED3D7F">
        <w:rPr>
          <w:rFonts w:cstheme="minorHAnsi"/>
        </w:rPr>
        <w:t>°</w:t>
      </w:r>
      <w:r w:rsidR="00ED3D7F">
        <w:t xml:space="preserve"> lines</w:t>
      </w:r>
      <w:r w:rsidR="00FA4DC4">
        <w:t xml:space="preserve"> on either side of the diagonal between (0</w:t>
      </w:r>
      <w:r w:rsidR="00300D16">
        <w:rPr>
          <w:rFonts w:cstheme="minorHAnsi"/>
        </w:rPr>
        <w:t>¢</w:t>
      </w:r>
      <w:r w:rsidR="00300D16">
        <w:t xml:space="preserve">, </w:t>
      </w:r>
      <w:r w:rsidR="00FA4DC4">
        <w:t>0</w:t>
      </w:r>
      <w:r w:rsidR="00300D16">
        <w:rPr>
          <w:rFonts w:cstheme="minorHAnsi"/>
        </w:rPr>
        <w:t>¢</w:t>
      </w:r>
      <w:r w:rsidR="00FA4DC4">
        <w:t>) and (1</w:t>
      </w:r>
      <w:r w:rsidR="00300D16">
        <w:rPr>
          <w:rFonts w:cstheme="minorHAnsi"/>
        </w:rPr>
        <w:t>¢</w:t>
      </w:r>
      <w:r w:rsidR="00300D16">
        <w:t>,</w:t>
      </w:r>
      <w:r w:rsidR="00F95D60">
        <w:t xml:space="preserve"> </w:t>
      </w:r>
      <w:r w:rsidR="00FA4DC4">
        <w:t>1</w:t>
      </w:r>
      <w:r w:rsidR="00300D16">
        <w:rPr>
          <w:rFonts w:cstheme="minorHAnsi"/>
        </w:rPr>
        <w:t>¢</w:t>
      </w:r>
      <w:r w:rsidR="00FA4DC4">
        <w:t>).  Such maps</w:t>
      </w:r>
      <w:r w:rsidR="00ED3D7F">
        <w:t xml:space="preserve"> </w:t>
      </w:r>
      <w:r w:rsidR="00B93B43">
        <w:t xml:space="preserve">indicate </w:t>
      </w:r>
      <w:r w:rsidR="00FA4DC4">
        <w:t xml:space="preserve">that </w:t>
      </w:r>
      <w:r w:rsidR="00B93B43">
        <w:t xml:space="preserve">the probability of </w:t>
      </w:r>
      <w:r w:rsidR="00ED3D7F">
        <w:t>one observation given the previous observation is just a function of their distance from each other</w:t>
      </w:r>
      <w:r w:rsidR="00FA4DC4">
        <w:t xml:space="preserve">.  </w:t>
      </w:r>
      <w:r w:rsidR="00ED3D7F">
        <w:t>This contour map also will have rising 45</w:t>
      </w:r>
      <w:r w:rsidR="00ED3D7F">
        <w:rPr>
          <w:rFonts w:cstheme="minorHAnsi"/>
        </w:rPr>
        <w:t>°</w:t>
      </w:r>
      <w:r w:rsidR="00ED3D7F">
        <w:t xml:space="preserve"> lines in the </w:t>
      </w:r>
      <w:r w:rsidR="00702FA7">
        <w:t xml:space="preserve">upper left and lower right corners because a </w:t>
      </w:r>
      <w:r w:rsidR="003157DF">
        <w:t xml:space="preserve">value that is </w:t>
      </w:r>
      <w:r w:rsidR="00702FA7">
        <w:t xml:space="preserve">just </w:t>
      </w:r>
      <w:r w:rsidR="003157DF">
        <w:t xml:space="preserve">below a </w:t>
      </w:r>
      <w:r w:rsidR="001E3D1C">
        <w:t>discrete tick (and thus has a modulus of just less than 1</w:t>
      </w:r>
      <w:r w:rsidR="001E3D1C">
        <w:rPr>
          <w:rFonts w:cstheme="minorHAnsi"/>
        </w:rPr>
        <w:t xml:space="preserve">¢) is </w:t>
      </w:r>
      <w:r w:rsidR="00702FA7">
        <w:t xml:space="preserve">close to a </w:t>
      </w:r>
      <w:r w:rsidR="003157DF">
        <w:t xml:space="preserve">value that is just above </w:t>
      </w:r>
      <w:r w:rsidR="001E3D1C">
        <w:t>that tick (and thus has a modulus of just above 0</w:t>
      </w:r>
      <w:r w:rsidR="001E3D1C">
        <w:rPr>
          <w:rFonts w:cstheme="minorHAnsi"/>
        </w:rPr>
        <w:t>¢)</w:t>
      </w:r>
      <w:r w:rsidR="001E3D1C">
        <w:t xml:space="preserve">.  </w:t>
      </w:r>
      <w:r w:rsidR="00F95D60">
        <w:t xml:space="preserve">These lines would be the continuations of the primary diagonal lines if the contour map were tiled to cover a broader range of ticks.  </w:t>
      </w:r>
    </w:p>
    <w:p w:rsidR="00DE4AA0" w:rsidRPr="00F81028" w:rsidRDefault="009E13D0" w:rsidP="000042E4">
      <w:pPr>
        <w:pStyle w:val="BodyText"/>
      </w:pPr>
      <w:r>
        <w:t>Figure 4</w:t>
      </w:r>
      <w:r w:rsidR="00F95D60">
        <w:t>, Panel A</w:t>
      </w:r>
      <w:r>
        <w:t xml:space="preserve"> presents the contour map from a simulated bivariate distribution </w:t>
      </w:r>
      <w:r w:rsidR="008666D6">
        <w:t>of sub-penny values on the assumption that values follow a random walk with normally distributed innovations that have a standard deviation of 0.</w:t>
      </w:r>
      <w:r w:rsidR="00D57523">
        <w:t>1</w:t>
      </w:r>
      <w:r w:rsidR="008666D6">
        <w:rPr>
          <w:rFonts w:cstheme="minorHAnsi"/>
        </w:rPr>
        <w:t>¢</w:t>
      </w:r>
      <w:r w:rsidR="008666D6">
        <w:t xml:space="preserve">. </w:t>
      </w:r>
      <w:r w:rsidR="00F95D60">
        <w:t xml:space="preserve"> Panel B presents the same map tiled in a 2x2 </w:t>
      </w:r>
      <w:r w:rsidR="00E01201">
        <w:t xml:space="preserve">array. </w:t>
      </w:r>
    </w:p>
    <w:p w:rsidR="00857F21" w:rsidRDefault="00E01201" w:rsidP="000042E4">
      <w:pPr>
        <w:pStyle w:val="BodyText"/>
      </w:pPr>
      <w:r>
        <w:t xml:space="preserve">The contour map </w:t>
      </w:r>
      <w:r w:rsidR="001B5D4A">
        <w:t xml:space="preserve">of </w:t>
      </w:r>
      <w:r w:rsidR="006548F4">
        <w:t xml:space="preserve">the </w:t>
      </w:r>
      <w:r w:rsidR="001B5D4A">
        <w:t xml:space="preserve">corresponding </w:t>
      </w:r>
      <w:r w:rsidR="006548F4">
        <w:t xml:space="preserve">bivariate </w:t>
      </w:r>
      <w:r w:rsidR="00700BB9">
        <w:t xml:space="preserve">density </w:t>
      </w:r>
      <w:r w:rsidR="001B5D4A">
        <w:t xml:space="preserve">for the </w:t>
      </w:r>
      <w:r w:rsidR="00857F21">
        <w:t xml:space="preserve">unadjusted value estimates will </w:t>
      </w:r>
      <w:r w:rsidR="00273C48">
        <w:t xml:space="preserve">be </w:t>
      </w:r>
      <w:r w:rsidR="006548F4">
        <w:t xml:space="preserve">different.  </w:t>
      </w:r>
      <w:r w:rsidR="00DA2E0F">
        <w:t xml:space="preserve">Again, the differences are easiest to explain for a one-tick market.  Within </w:t>
      </w:r>
      <w:r w:rsidR="006548F4">
        <w:t xml:space="preserve">the </w:t>
      </w:r>
      <w:r w:rsidR="00275D12">
        <w:t>center of the map, the map will look much like the map for the adjusted value estimates because in this area value</w:t>
      </w:r>
      <w:r w:rsidR="00285972">
        <w:t xml:space="preserve"> can only be represented by the quotes of a single market.  </w:t>
      </w:r>
      <w:r w:rsidR="00275D12">
        <w:t xml:space="preserve">But outside of this area, the </w:t>
      </w:r>
      <w:r w:rsidR="00C27E83">
        <w:t xml:space="preserve">bivariate </w:t>
      </w:r>
      <w:r w:rsidR="00275D12">
        <w:t>density decreases moving up or down along the 45</w:t>
      </w:r>
      <w:r w:rsidR="00275D12">
        <w:rPr>
          <w:rFonts w:cstheme="minorHAnsi"/>
        </w:rPr>
        <w:t>°</w:t>
      </w:r>
      <w:r w:rsidR="00700BB9">
        <w:rPr>
          <w:rFonts w:cstheme="minorHAnsi"/>
        </w:rPr>
        <w:t xml:space="preserve"> </w:t>
      </w:r>
      <w:r w:rsidR="00700BB9">
        <w:t>diagonal between (0</w:t>
      </w:r>
      <w:r w:rsidR="00687992">
        <w:rPr>
          <w:rFonts w:cstheme="minorHAnsi"/>
        </w:rPr>
        <w:t>¢</w:t>
      </w:r>
      <w:r w:rsidR="00700BB9">
        <w:t>, 0</w:t>
      </w:r>
      <w:r w:rsidR="00687992">
        <w:rPr>
          <w:rFonts w:cstheme="minorHAnsi"/>
        </w:rPr>
        <w:t>¢</w:t>
      </w:r>
      <w:r w:rsidR="00700BB9">
        <w:t>) and (1</w:t>
      </w:r>
      <w:r w:rsidR="00687992">
        <w:rPr>
          <w:rFonts w:cstheme="minorHAnsi"/>
        </w:rPr>
        <w:t>¢</w:t>
      </w:r>
      <w:r w:rsidR="00700BB9">
        <w:t>, 1</w:t>
      </w:r>
      <w:r w:rsidR="00687992">
        <w:rPr>
          <w:rFonts w:cstheme="minorHAnsi"/>
        </w:rPr>
        <w:t>¢</w:t>
      </w:r>
      <w:r w:rsidR="00700BB9">
        <w:t xml:space="preserve">) because the </w:t>
      </w:r>
      <w:proofErr w:type="spellStart"/>
      <w:r w:rsidR="00700BB9">
        <w:t>univariate</w:t>
      </w:r>
      <w:proofErr w:type="spellEnd"/>
      <w:r w:rsidR="00700BB9">
        <w:t xml:space="preserve"> densities are decreasing </w:t>
      </w:r>
      <w:r w:rsidR="00285972">
        <w:t xml:space="preserve">for small and large sub-penny values of the unadjusted value estimates.  </w:t>
      </w:r>
      <w:r w:rsidR="00C27E83">
        <w:t>The contours line</w:t>
      </w:r>
      <w:r w:rsidR="00EB72C4">
        <w:t>s</w:t>
      </w:r>
      <w:r w:rsidR="00C27E83">
        <w:t xml:space="preserve"> </w:t>
      </w:r>
      <w:r w:rsidR="00EB72C4">
        <w:t xml:space="preserve">thus </w:t>
      </w:r>
      <w:r w:rsidR="00857F21">
        <w:t xml:space="preserve">will be closed loops primarily </w:t>
      </w:r>
      <w:r w:rsidR="00C27E83">
        <w:t>aligned with the 45</w:t>
      </w:r>
      <w:r w:rsidR="00C27E83">
        <w:rPr>
          <w:rFonts w:cstheme="minorHAnsi"/>
        </w:rPr>
        <w:t>°</w:t>
      </w:r>
      <w:r w:rsidR="00C27E83">
        <w:t xml:space="preserve"> diagonal and centered on (0.5</w:t>
      </w:r>
      <w:r w:rsidR="00687992">
        <w:rPr>
          <w:rFonts w:cstheme="minorHAnsi"/>
        </w:rPr>
        <w:t>¢</w:t>
      </w:r>
      <w:r w:rsidR="00C27E83">
        <w:t>, 0.5</w:t>
      </w:r>
      <w:r w:rsidR="00687992">
        <w:rPr>
          <w:rFonts w:cstheme="minorHAnsi"/>
        </w:rPr>
        <w:t>¢</w:t>
      </w:r>
      <w:r w:rsidR="00C27E83">
        <w:t xml:space="preserve">).  </w:t>
      </w:r>
    </w:p>
    <w:p w:rsidR="00B05C11" w:rsidRDefault="00857F21" w:rsidP="000042E4">
      <w:pPr>
        <w:pStyle w:val="BodyText"/>
      </w:pPr>
      <w:r>
        <w:t xml:space="preserve">One other feature unique to the market-taker pricing system distinguishes the contour map for the unadjusted value estimates.  </w:t>
      </w:r>
      <w:r w:rsidR="006302E7">
        <w:t xml:space="preserve">The density should have extra mass </w:t>
      </w:r>
      <w:r w:rsidR="007B1CF4">
        <w:t xml:space="preserve">where the lagged </w:t>
      </w:r>
      <w:r w:rsidR="00486484">
        <w:t>sub-penny</w:t>
      </w:r>
      <w:r w:rsidR="007B1CF4">
        <w:t xml:space="preserve"> fraction is near 1</w:t>
      </w:r>
      <w:r w:rsidR="00687992">
        <w:rPr>
          <w:rFonts w:cstheme="minorHAnsi"/>
        </w:rPr>
        <w:t>¢</w:t>
      </w:r>
      <w:r w:rsidR="007B1CF4">
        <w:t xml:space="preserve"> and the current </w:t>
      </w:r>
      <w:r w:rsidR="00486484">
        <w:t>sub-penny</w:t>
      </w:r>
      <w:r w:rsidR="007B1CF4">
        <w:t xml:space="preserve"> fraction </w:t>
      </w:r>
      <w:r w:rsidR="00C52E3C">
        <w:t>i</w:t>
      </w:r>
      <w:r w:rsidR="007B0DDB">
        <w:t xml:space="preserve">s </w:t>
      </w:r>
      <w:r w:rsidR="007B1CF4">
        <w:t>further from 0</w:t>
      </w:r>
      <w:r w:rsidR="008B1A81">
        <w:rPr>
          <w:rFonts w:cstheme="minorHAnsi"/>
        </w:rPr>
        <w:t>¢</w:t>
      </w:r>
      <w:r w:rsidR="007B1CF4">
        <w:t xml:space="preserve"> than the lagged </w:t>
      </w:r>
      <w:r w:rsidR="00486484">
        <w:t>sub-penny</w:t>
      </w:r>
      <w:r w:rsidR="007B1CF4">
        <w:t xml:space="preserve"> fraction is near 1</w:t>
      </w:r>
      <w:r w:rsidR="00687992">
        <w:rPr>
          <w:rFonts w:cstheme="minorHAnsi"/>
        </w:rPr>
        <w:t>¢</w:t>
      </w:r>
      <w:r w:rsidR="007B1CF4">
        <w:t xml:space="preserve">.  Likewise, the density should have extra mass where the lagged </w:t>
      </w:r>
      <w:r w:rsidR="00486484">
        <w:t>sub-penny</w:t>
      </w:r>
      <w:r w:rsidR="007B1CF4">
        <w:t xml:space="preserve"> fraction is near 0</w:t>
      </w:r>
      <w:r w:rsidR="00687992">
        <w:rPr>
          <w:rFonts w:cstheme="minorHAnsi"/>
        </w:rPr>
        <w:t>¢</w:t>
      </w:r>
      <w:r w:rsidR="007B1CF4">
        <w:t xml:space="preserve"> and the current </w:t>
      </w:r>
      <w:r w:rsidR="00486484">
        <w:t>sub-penny</w:t>
      </w:r>
      <w:r w:rsidR="007B1CF4">
        <w:t xml:space="preserve"> fraction</w:t>
      </w:r>
      <w:r w:rsidR="00DF7104">
        <w:t xml:space="preserve"> is</w:t>
      </w:r>
      <w:r w:rsidR="007B1CF4">
        <w:t xml:space="preserve"> further from 1</w:t>
      </w:r>
      <w:r w:rsidR="004F3EB9">
        <w:rPr>
          <w:rFonts w:cstheme="minorHAnsi"/>
        </w:rPr>
        <w:t>¢</w:t>
      </w:r>
      <w:r w:rsidR="007B1CF4">
        <w:t xml:space="preserve"> </w:t>
      </w:r>
      <w:r w:rsidR="00563AC0">
        <w:t xml:space="preserve">than </w:t>
      </w:r>
      <w:r w:rsidR="007B1CF4">
        <w:t xml:space="preserve">the lagged </w:t>
      </w:r>
      <w:r w:rsidR="00486484">
        <w:t>sub-penny</w:t>
      </w:r>
      <w:r w:rsidR="007B1CF4">
        <w:t xml:space="preserve"> fraction is near </w:t>
      </w:r>
      <w:r w:rsidR="00563AC0">
        <w:t>0</w:t>
      </w:r>
      <w:r w:rsidR="00687992">
        <w:rPr>
          <w:rFonts w:cstheme="minorHAnsi"/>
        </w:rPr>
        <w:t>¢</w:t>
      </w:r>
      <w:r w:rsidR="007B1CF4">
        <w:t xml:space="preserve">.  </w:t>
      </w:r>
      <w:r w:rsidR="00E5076C">
        <w:t xml:space="preserve">When </w:t>
      </w:r>
      <w:r w:rsidR="00563AC0">
        <w:t xml:space="preserve">the contour plot plots the lagged </w:t>
      </w:r>
      <w:r w:rsidR="00486484">
        <w:t>sub-penny</w:t>
      </w:r>
      <w:r w:rsidR="00563AC0">
        <w:t xml:space="preserve"> fraction on the horizontal axis and the current sub-penny fraction on the vertical axis, the extra mass will be below </w:t>
      </w:r>
      <w:r w:rsidR="006302E7">
        <w:t>the 45</w:t>
      </w:r>
      <w:r w:rsidR="006302E7">
        <w:rPr>
          <w:rFonts w:cstheme="minorHAnsi"/>
        </w:rPr>
        <w:t>°</w:t>
      </w:r>
      <w:r w:rsidR="006302E7">
        <w:t xml:space="preserve"> </w:t>
      </w:r>
      <w:r w:rsidR="00563AC0">
        <w:t xml:space="preserve">line </w:t>
      </w:r>
      <w:r w:rsidR="006302E7">
        <w:t>near 1</w:t>
      </w:r>
      <w:r w:rsidR="004F3EB9">
        <w:rPr>
          <w:rFonts w:cstheme="minorHAnsi"/>
        </w:rPr>
        <w:t>¢</w:t>
      </w:r>
      <w:r w:rsidR="006302E7">
        <w:t xml:space="preserve"> and </w:t>
      </w:r>
      <w:r w:rsidR="00563AC0">
        <w:t xml:space="preserve">above </w:t>
      </w:r>
      <w:r w:rsidR="006302E7">
        <w:t>the 45</w:t>
      </w:r>
      <w:r w:rsidR="006302E7">
        <w:rPr>
          <w:rFonts w:cstheme="minorHAnsi"/>
        </w:rPr>
        <w:t>°</w:t>
      </w:r>
      <w:r w:rsidR="006302E7">
        <w:t xml:space="preserve"> </w:t>
      </w:r>
      <w:r w:rsidR="00563AC0">
        <w:t xml:space="preserve">line </w:t>
      </w:r>
      <w:r w:rsidR="006302E7">
        <w:t>near 0</w:t>
      </w:r>
      <w:r w:rsidR="00687992">
        <w:rPr>
          <w:rFonts w:cstheme="minorHAnsi"/>
        </w:rPr>
        <w:t>¢</w:t>
      </w:r>
      <w:r w:rsidR="006302E7">
        <w:t>.  T</w:t>
      </w:r>
      <w:r w:rsidR="00980791">
        <w:t xml:space="preserve">his feature arises because when </w:t>
      </w:r>
      <w:r w:rsidR="00563AC0">
        <w:t xml:space="preserve">true </w:t>
      </w:r>
      <w:r w:rsidR="00980791">
        <w:t>value rises and the quoted market shi</w:t>
      </w:r>
      <w:r w:rsidR="00563AC0">
        <w:t>f</w:t>
      </w:r>
      <w:r w:rsidR="00980791">
        <w:t xml:space="preserve">ts up, the </w:t>
      </w:r>
      <w:r w:rsidR="00563AC0">
        <w:t xml:space="preserve">adjusted value estimate will jump by more than the change in the true value.  </w:t>
      </w:r>
      <w:r w:rsidR="003E25C6">
        <w:t xml:space="preserve">For example, if lag true value is just </w:t>
      </w:r>
      <w:proofErr w:type="gramStart"/>
      <w:r w:rsidR="003E25C6">
        <w:t xml:space="preserve">below </w:t>
      </w:r>
      <w:proofErr w:type="gramEnd"/>
      <m:oMath>
        <m:r>
          <w:rPr>
            <w:rFonts w:ascii="Cambria Math" w:hAnsi="Cambria Math"/>
          </w:rPr>
          <m:t>Ask+c</m:t>
        </m:r>
      </m:oMath>
      <w:r w:rsidR="005F4C96">
        <w:t xml:space="preserve">, a small </w:t>
      </w:r>
      <w:r w:rsidR="00966919">
        <w:t xml:space="preserve">increase in value (which is a high probability event) will cause quotes to shift up.  The </w:t>
      </w:r>
      <w:r w:rsidR="00DC0667">
        <w:t>un</w:t>
      </w:r>
      <w:r w:rsidR="00966919">
        <w:t xml:space="preserve">adjusted value estimator will jump from just below </w:t>
      </w:r>
      <m:oMath>
        <m:r>
          <w:rPr>
            <w:rFonts w:ascii="Cambria Math" w:hAnsi="Cambria Math"/>
          </w:rPr>
          <m:t>Ask</m:t>
        </m:r>
      </m:oMath>
      <w:r w:rsidR="00966919">
        <w:t xml:space="preserve"> to a value </w:t>
      </w:r>
      <w:proofErr w:type="gramStart"/>
      <w:r w:rsidR="005F4C96">
        <w:t xml:space="preserve">near </w:t>
      </w:r>
      <w:proofErr w:type="gramEnd"/>
      <m:oMath>
        <m:r>
          <w:rPr>
            <w:rFonts w:ascii="Cambria Math" w:hAnsi="Cambria Math"/>
          </w:rPr>
          <m:t>Ask+c</m:t>
        </m:r>
      </m:oMath>
      <w:r w:rsidR="005F4C96">
        <w:t xml:space="preserve">.  The fractional part thus will jump from </w:t>
      </w:r>
      <w:r w:rsidR="00DC0667">
        <w:t xml:space="preserve">just below </w:t>
      </w:r>
      <w:r w:rsidR="005F4C96">
        <w:t>1</w:t>
      </w:r>
      <w:r w:rsidR="0070414F">
        <w:rPr>
          <w:rFonts w:cstheme="minorHAnsi"/>
        </w:rPr>
        <w:t>¢</w:t>
      </w:r>
      <w:r w:rsidR="005F4C96">
        <w:t xml:space="preserve"> down to </w:t>
      </w:r>
      <w:r w:rsidR="00DC0667">
        <w:t xml:space="preserve">somewhere </w:t>
      </w:r>
      <w:proofErr w:type="gramStart"/>
      <w:r w:rsidR="005F4C96">
        <w:t xml:space="preserve">near </w:t>
      </w:r>
      <w:proofErr w:type="gramEnd"/>
      <m:oMath>
        <m:r>
          <w:rPr>
            <w:rFonts w:ascii="Cambria Math" w:hAnsi="Cambria Math"/>
          </w:rPr>
          <m:t>c</m:t>
        </m:r>
      </m:oMath>
      <w:r w:rsidR="005F4C96">
        <w:t xml:space="preserve">.  </w:t>
      </w:r>
      <w:proofErr w:type="gramStart"/>
      <w:r w:rsidR="003E25C6">
        <w:t>Likewise, when true value falls and the quoted market shifts down, the adjusted value estimate will jump by more than the change in the true value</w:t>
      </w:r>
      <w:r w:rsidR="00DC0667">
        <w:t>.</w:t>
      </w:r>
      <w:proofErr w:type="gramEnd"/>
      <w:r w:rsidR="00DC0667">
        <w:t xml:space="preserve">  If the lag true value starts just above </w:t>
      </w:r>
      <m:oMath>
        <m:r>
          <w:rPr>
            <w:rFonts w:ascii="Cambria Math" w:hAnsi="Cambria Math"/>
          </w:rPr>
          <m:t>Bid-c</m:t>
        </m:r>
      </m:oMath>
      <w:r w:rsidR="00DC0667">
        <w:t xml:space="preserve"> and ends up above this point, the fractional part of the unadjusted value estimator will jump from just above 0</w:t>
      </w:r>
      <w:r w:rsidR="0070414F">
        <w:rPr>
          <w:rFonts w:cstheme="minorHAnsi"/>
        </w:rPr>
        <w:t>¢</w:t>
      </w:r>
      <w:r w:rsidR="00DC0667">
        <w:t xml:space="preserve"> to somewhere </w:t>
      </w:r>
      <w:proofErr w:type="gramStart"/>
      <w:r w:rsidR="00DC0667">
        <w:t xml:space="preserve">near </w:t>
      </w:r>
      <w:proofErr w:type="gramEnd"/>
      <m:oMath>
        <m:r>
          <w:rPr>
            <w:rFonts w:ascii="Cambria Math" w:hAnsi="Cambria Math"/>
          </w:rPr>
          <m:t>1</m:t>
        </m:r>
        <m:r>
          <m:rPr>
            <m:sty m:val="p"/>
          </m:rPr>
          <w:rPr>
            <w:rFonts w:ascii="Cambria Math" w:hAnsi="Cambria Math" w:cstheme="minorHAnsi"/>
          </w:rPr>
          <m:t>¢</m:t>
        </m:r>
        <m:r>
          <w:rPr>
            <w:rFonts w:ascii="Cambria Math" w:hAnsi="Cambria Math"/>
          </w:rPr>
          <m:t>-c</m:t>
        </m:r>
      </m:oMath>
      <w:r w:rsidR="00DC0667">
        <w:t xml:space="preserve">. </w:t>
      </w:r>
      <w:r w:rsidR="00B05C11">
        <w:t xml:space="preserve"> </w:t>
      </w:r>
    </w:p>
    <w:p w:rsidR="00486484" w:rsidRDefault="00B05C11" w:rsidP="000042E4">
      <w:pPr>
        <w:pStyle w:val="BodyText"/>
      </w:pPr>
      <w:r>
        <w:t xml:space="preserve">Density arising from these jumps will cause bulges in the contour function so that the </w:t>
      </w:r>
      <w:r w:rsidR="00551B73">
        <w:t xml:space="preserve">outside-most </w:t>
      </w:r>
      <w:r>
        <w:t xml:space="preserve">loops do not appear to be ovals as they otherwise would.  These bulges in the unadjusted value estimate contour function will not appear in the adjusted value estimate contour function.  They are a </w:t>
      </w:r>
      <w:r w:rsidR="00857F21">
        <w:t xml:space="preserve">distinguishing characteristic </w:t>
      </w:r>
      <w:r>
        <w:t xml:space="preserve">of traders accounting for maker-taker pricing when making trading decisions.  </w:t>
      </w:r>
    </w:p>
    <w:p w:rsidR="00F61A10" w:rsidRDefault="00F61A10" w:rsidP="000042E4">
      <w:pPr>
        <w:pStyle w:val="BodyText"/>
      </w:pPr>
      <w:r>
        <w:t>Figure 5</w:t>
      </w:r>
      <w:r w:rsidR="00E174C1">
        <w:t>, Panel A</w:t>
      </w:r>
      <w:r>
        <w:t xml:space="preserve"> presents a contour plot for adjusted value estimates based on the same simulated process used to produce the contour plot in Figure 4.  To obtain the </w:t>
      </w:r>
      <w:r w:rsidR="00E47157">
        <w:t xml:space="preserve">adjusted value estimates, I </w:t>
      </w:r>
      <w:r w:rsidR="00AF38ED">
        <w:t>used the extreme stick</w:t>
      </w:r>
      <w:r w:rsidR="00534F1E">
        <w:t>y</w:t>
      </w:r>
      <w:r w:rsidR="00AF38ED">
        <w:t xml:space="preserve"> quote model described above.  In particular, I </w:t>
      </w:r>
      <w:r>
        <w:t xml:space="preserve">assumed that quotes increase whenever the simulated true value rose above the </w:t>
      </w:r>
      <w:proofErr w:type="gramStart"/>
      <w:r>
        <w:t xml:space="preserve">former </w:t>
      </w:r>
      <w:proofErr w:type="gramEnd"/>
      <m:oMath>
        <m:r>
          <w:rPr>
            <w:rFonts w:ascii="Cambria Math" w:hAnsi="Cambria Math"/>
          </w:rPr>
          <m:t>Ask+c</m:t>
        </m:r>
      </m:oMath>
      <w:r>
        <w:t>.  I likewise assumed that quotes decrease whenever the simulate</w:t>
      </w:r>
      <w:r w:rsidR="00075746">
        <w:t>d</w:t>
      </w:r>
      <w:r>
        <w:t xml:space="preserve"> true value falls </w:t>
      </w:r>
      <w:proofErr w:type="gramStart"/>
      <w:r>
        <w:t xml:space="preserve">below </w:t>
      </w:r>
      <w:proofErr w:type="gramEnd"/>
      <m:oMath>
        <m:r>
          <w:rPr>
            <w:rFonts w:ascii="Cambria Math" w:hAnsi="Cambria Math"/>
          </w:rPr>
          <m:t>Bid-c</m:t>
        </m:r>
      </m:oMath>
      <w:r>
        <w:t xml:space="preserve">.  The plot shows contour loops </w:t>
      </w:r>
      <w:r w:rsidR="0046307A">
        <w:t xml:space="preserve">around the main diagonal </w:t>
      </w:r>
      <w:r>
        <w:t xml:space="preserve">that are due to the </w:t>
      </w:r>
      <w:r w:rsidR="00E47157">
        <w:t xml:space="preserve">low density </w:t>
      </w:r>
      <w:r>
        <w:t xml:space="preserve">tails </w:t>
      </w:r>
      <w:r w:rsidR="00E47157">
        <w:t xml:space="preserve">in </w:t>
      </w:r>
      <w:r>
        <w:t xml:space="preserve">the </w:t>
      </w:r>
      <w:proofErr w:type="spellStart"/>
      <w:r w:rsidR="000768FC">
        <w:t>univariate</w:t>
      </w:r>
      <w:proofErr w:type="spellEnd"/>
      <w:r w:rsidR="000768FC">
        <w:t xml:space="preserve"> </w:t>
      </w:r>
      <w:r w:rsidR="00E47157">
        <w:t>sub</w:t>
      </w:r>
      <w:r w:rsidR="000768FC">
        <w:t>-</w:t>
      </w:r>
      <w:r w:rsidR="00E47157">
        <w:t>penny distribution of the adjusted value estimates.  It also shows the bulges that are due to the jumps in the adjusted v</w:t>
      </w:r>
      <w:r w:rsidR="009A3BE8">
        <w:t>alue estimates discussed above.</w:t>
      </w:r>
      <w:r w:rsidR="0046307A">
        <w:t xml:space="preserve">  The lower right bulge is due to an increase in quotes that increased the unadjusted value estimate from just below the former ask to just above the new bid, which was equal to the former ask.  The upper left bulge is likewise due to a decrease in quotes.  </w:t>
      </w:r>
    </w:p>
    <w:p w:rsidR="00571591" w:rsidRDefault="00571591" w:rsidP="00571591">
      <w:pPr>
        <w:pStyle w:val="BodyText"/>
      </w:pPr>
      <w:r>
        <w:t>Overlaid on this contour plot is a 4x4 grid with four cells marked “T” for test and “C” for control.  Asymmetry in th</w:t>
      </w:r>
      <w:r w:rsidR="00EA40E4">
        <w:t xml:space="preserve">e distribution </w:t>
      </w:r>
      <w:r>
        <w:t>can be tested by contrasting the frequencies in the test regions to those in the control regions.</w:t>
      </w:r>
    </w:p>
    <w:p w:rsidR="0046307A" w:rsidRDefault="0046307A" w:rsidP="0046307A">
      <w:pPr>
        <w:pStyle w:val="BodyText"/>
      </w:pPr>
      <w:r>
        <w:t xml:space="preserve">The origins of these bulges appear very clearly in a contour plot in which the horizontal axis plots the sub-penny from which the value changed </w:t>
      </w:r>
      <w:r w:rsidR="001F0924">
        <w:t xml:space="preserve">(as in the bivariate contour plot discussed above) </w:t>
      </w:r>
      <w:r>
        <w:t xml:space="preserve">and the vertical axis plots the current value estimate </w:t>
      </w:r>
      <w:r w:rsidR="00D34AC2">
        <w:t xml:space="preserve">minus </w:t>
      </w:r>
      <w:r>
        <w:t xml:space="preserve">the integer of its lagged value (Figure </w:t>
      </w:r>
      <w:r w:rsidR="00E174C1">
        <w:t>5, Panel B</w:t>
      </w:r>
      <w:r>
        <w:t xml:space="preserve">).  This figure has three regions.  The middle region consists of value and lagged value estimates obtained from the same market.  The upper and lower panels respectively consist of value estimates obtained from a market one tick higher and one tick lower </w:t>
      </w:r>
      <w:r w:rsidR="001D4F65">
        <w:t xml:space="preserve">than </w:t>
      </w:r>
      <w:r>
        <w:t xml:space="preserve">the previous value estimate.  The center region shows the oval distribution while the upper and lower regions show where the budges came from.  </w:t>
      </w:r>
      <w:r w:rsidR="00D34AC2">
        <w:t xml:space="preserve">The overall bivariate distribution is composed of the sums of the densities in these three regions. </w:t>
      </w:r>
    </w:p>
    <w:p w:rsidR="00BE7B15" w:rsidRDefault="007E1435" w:rsidP="008B2A23">
      <w:pPr>
        <w:pStyle w:val="Heading1"/>
      </w:pPr>
      <w:r>
        <w:t>Data</w:t>
      </w:r>
    </w:p>
    <w:p w:rsidR="00B9225B" w:rsidRDefault="00857750" w:rsidP="006C1A05">
      <w:pPr>
        <w:pStyle w:val="BodyText"/>
      </w:pPr>
      <w:r>
        <w:t xml:space="preserve">This study analyzes samples of </w:t>
      </w:r>
      <w:r w:rsidR="006C1A05">
        <w:t xml:space="preserve">one-second </w:t>
      </w:r>
      <w:r>
        <w:t xml:space="preserve">TAQ (Trades and Quote) data produced by the New York Stock Exchange </w:t>
      </w:r>
      <w:r w:rsidR="00422E57">
        <w:t xml:space="preserve">(NYSE) </w:t>
      </w:r>
      <w:r>
        <w:t xml:space="preserve">and distributed through Wharton WRDS.  </w:t>
      </w:r>
      <w:r w:rsidR="00B9225B">
        <w:t xml:space="preserve">The NYSE collects TAQ data from the Consolidated Trade Association (CTA) for stocks listed on the NYSE or the American Stock Exchange, and from NASDAQ for NASDAQ-listed stocks.  The Securities Industry Automation Corporation (SIAC) processes the quote data for the CTA. </w:t>
      </w:r>
    </w:p>
    <w:p w:rsidR="004038FC" w:rsidRDefault="00035A64" w:rsidP="004038FC">
      <w:pPr>
        <w:pStyle w:val="Heading6"/>
        <w:numPr>
          <w:ilvl w:val="0"/>
          <w:numId w:val="0"/>
        </w:numPr>
        <w:ind w:left="720" w:hanging="720"/>
      </w:pPr>
      <w:r>
        <w:t>Sample Period</w:t>
      </w:r>
      <w:r w:rsidRPr="00C66C96">
        <w:rPr>
          <w:vanish/>
        </w:rPr>
        <w:t>s</w:t>
      </w:r>
    </w:p>
    <w:p w:rsidR="008B067E" w:rsidRPr="008B067E" w:rsidRDefault="008B067E" w:rsidP="008B067E">
      <w:pPr>
        <w:pStyle w:val="BodyText"/>
        <w:rPr>
          <w:vanish/>
        </w:rPr>
      </w:pPr>
      <w:r w:rsidRPr="008B067E">
        <w:rPr>
          <w:vanish/>
        </w:rPr>
        <w:t xml:space="preserve">I collected data for four sample periods:  The last ten trading days of September 2001, 2004, 2008, and 2012.  The 2012 data were chosen because they were from the last year available to me.  The 2000 data were chosen because they were from the first year that trades on one-penny ticks were available.  The other two years were chosen at approximately equal intervals between the beginning and end of the sample.  </w:t>
      </w:r>
    </w:p>
    <w:p w:rsidR="008B067E" w:rsidRPr="008B067E" w:rsidRDefault="008B067E" w:rsidP="008B067E">
      <w:pPr>
        <w:pStyle w:val="BodyText"/>
        <w:rPr>
          <w:vanish/>
        </w:rPr>
      </w:pPr>
      <w:r w:rsidRPr="008B067E">
        <w:rPr>
          <w:vanish/>
        </w:rPr>
        <w:t>The 10-day period in September was chosen somewhat arbitrarily.  An earlier month in the year would have been too close to the start of decimal trading in May 2001.  Although December data were the most recent data available to me, December is undesirable because of the holidays.  I chose the last 10 trading days of September to include the high volatility period in the second half of September, 2008.</w:t>
      </w:r>
    </w:p>
    <w:p w:rsidR="008B067E" w:rsidRPr="008B067E" w:rsidRDefault="008B067E" w:rsidP="008B067E">
      <w:pPr>
        <w:pStyle w:val="BodyText"/>
        <w:rPr>
          <w:vanish/>
        </w:rPr>
      </w:pPr>
      <w:r w:rsidRPr="008B067E">
        <w:rPr>
          <w:vanish/>
        </w:rPr>
        <w:t>During the period spanned by the sample, Regulation NMS was adopted and implemented.  This regulation caused all exchanges to create and use fast electronic trading systems.  As noted above, it also formally limited access fees to 0.3</w:t>
      </w:r>
      <w:r w:rsidRPr="008B067E">
        <w:rPr>
          <w:rFonts w:cstheme="minorHAnsi"/>
          <w:vanish/>
        </w:rPr>
        <w:t>¢</w:t>
      </w:r>
      <w:r w:rsidRPr="008B067E">
        <w:rPr>
          <w:vanish/>
        </w:rPr>
        <w:t xml:space="preserve">, although a SEC Division of Market Regulation no-action letter had effectively established this limit earlier.  Regulation NMS became effective on August 29, 2006, and the final phase-in date for all requirements was August 31, 2006.  </w:t>
      </w:r>
    </w:p>
    <w:p w:rsidR="00C66C96" w:rsidRDefault="00857750" w:rsidP="006C1A05">
      <w:pPr>
        <w:pStyle w:val="BodyText"/>
      </w:pPr>
      <w:r>
        <w:t>I collected data for</w:t>
      </w:r>
      <w:r w:rsidR="008B067E">
        <w:t xml:space="preserve"> t</w:t>
      </w:r>
      <w:r>
        <w:t>he last ten trading days</w:t>
      </w:r>
      <w:r w:rsidR="008B067E">
        <w:t xml:space="preserve"> of September </w:t>
      </w:r>
      <w:r>
        <w:t xml:space="preserve">2012.  </w:t>
      </w:r>
    </w:p>
    <w:p w:rsidR="00546499" w:rsidRDefault="00546499" w:rsidP="00546499">
      <w:pPr>
        <w:pStyle w:val="Heading6"/>
        <w:numPr>
          <w:ilvl w:val="0"/>
          <w:numId w:val="0"/>
        </w:numPr>
        <w:ind w:left="720" w:hanging="720"/>
      </w:pPr>
      <w:r>
        <w:t xml:space="preserve">Time sample </w:t>
      </w:r>
    </w:p>
    <w:p w:rsidR="00546499" w:rsidRDefault="00546499" w:rsidP="00546499">
      <w:pPr>
        <w:pStyle w:val="BodyText"/>
      </w:pPr>
      <w:r>
        <w:t>This analysis examines only quotes and trades that occurred between 9:40 AM and 3:50 PM.  Trading immediately after the 9:30 AM market open and just before the 4:00 PM market close often is sometimes somewhat different from trading during the rest of the day.</w:t>
      </w:r>
      <w:r>
        <w:rPr>
          <w:rStyle w:val="FootnoteReference"/>
        </w:rPr>
        <w:footnoteReference w:id="10"/>
      </w:r>
      <w:r>
        <w:t xml:space="preserve">  The exclusion of these trades ensures that the remaining sample is more homogenous.  </w:t>
      </w:r>
    </w:p>
    <w:p w:rsidR="00282450" w:rsidRDefault="00282450" w:rsidP="00282450">
      <w:pPr>
        <w:pStyle w:val="Heading6"/>
        <w:numPr>
          <w:ilvl w:val="0"/>
          <w:numId w:val="0"/>
        </w:numPr>
        <w:ind w:left="720" w:hanging="720"/>
      </w:pPr>
      <w:r>
        <w:t>Stock Sample</w:t>
      </w:r>
    </w:p>
    <w:p w:rsidR="00282450" w:rsidRDefault="00282450" w:rsidP="00282450">
      <w:pPr>
        <w:pStyle w:val="BodyText"/>
      </w:pPr>
      <w:r>
        <w:t>For each stock in the TAQ</w:t>
      </w:r>
      <w:r w:rsidRPr="00C66C96">
        <w:rPr>
          <w:vanish/>
        </w:rPr>
        <w:t xml:space="preserve"> data and for each year in the sample</w:t>
      </w:r>
      <w:r>
        <w:t xml:space="preserve">, </w:t>
      </w:r>
      <w:r w:rsidRPr="008E59C8">
        <w:rPr>
          <w:vanish/>
        </w:rPr>
        <w:t xml:space="preserve">for the primary set of stocks analyzed in this study, </w:t>
      </w:r>
      <w:r>
        <w:t>I chose stocks meeting the following conditions</w:t>
      </w:r>
      <w:r w:rsidR="00546499">
        <w:t xml:space="preserve"> during the time sample</w:t>
      </w:r>
      <w:r>
        <w:t xml:space="preserve">:  </w:t>
      </w:r>
    </w:p>
    <w:p w:rsidR="00282450" w:rsidRDefault="00282450" w:rsidP="00282450">
      <w:pPr>
        <w:pStyle w:val="BodyText"/>
        <w:numPr>
          <w:ilvl w:val="0"/>
          <w:numId w:val="10"/>
        </w:numPr>
      </w:pPr>
      <w:r>
        <w:t xml:space="preserve">The standing-time weighted average bid price was greater than </w:t>
      </w:r>
      <w:r w:rsidR="0098544C">
        <w:t xml:space="preserve">$1.00 and </w:t>
      </w:r>
      <w:r>
        <w:t xml:space="preserve">less than </w:t>
      </w:r>
      <w:r w:rsidR="0098544C">
        <w:t>$6.00</w:t>
      </w:r>
      <w:r>
        <w:t xml:space="preserve">. </w:t>
      </w:r>
    </w:p>
    <w:p w:rsidR="00282450" w:rsidRDefault="00282450" w:rsidP="00282450">
      <w:pPr>
        <w:pStyle w:val="BodyText"/>
        <w:numPr>
          <w:ilvl w:val="0"/>
          <w:numId w:val="10"/>
        </w:numPr>
      </w:pPr>
      <w:r>
        <w:t xml:space="preserve">The fraction of bid prices reported at less than </w:t>
      </w:r>
      <w:r w:rsidR="0098544C">
        <w:t xml:space="preserve">$1 </w:t>
      </w:r>
      <w:r>
        <w:t xml:space="preserve">was less than </w:t>
      </w:r>
      <w:r w:rsidR="0098544C">
        <w:t>1%</w:t>
      </w:r>
      <w:r>
        <w:t xml:space="preserve">. </w:t>
      </w:r>
    </w:p>
    <w:p w:rsidR="00282450" w:rsidRDefault="00282450" w:rsidP="00282450">
      <w:pPr>
        <w:pStyle w:val="BodyText"/>
        <w:numPr>
          <w:ilvl w:val="0"/>
          <w:numId w:val="10"/>
        </w:numPr>
      </w:pPr>
      <w:r>
        <w:t>The frequency of quotes with a one-tick (1</w:t>
      </w:r>
      <w:r w:rsidRPr="00093499">
        <w:rPr>
          <w:rFonts w:cstheme="minorHAnsi"/>
        </w:rPr>
        <w:t>¢</w:t>
      </w:r>
      <w:r>
        <w:t xml:space="preserve">) spread was greater than </w:t>
      </w:r>
      <w:r w:rsidR="007B32C3">
        <w:t>7</w:t>
      </w:r>
      <w:r>
        <w:t>0</w:t>
      </w:r>
      <w:r w:rsidR="0098544C">
        <w:t>%</w:t>
      </w:r>
      <w:r>
        <w:t xml:space="preserve">. </w:t>
      </w:r>
    </w:p>
    <w:p w:rsidR="00282450" w:rsidRDefault="00282450" w:rsidP="00282450">
      <w:pPr>
        <w:pStyle w:val="BodyText"/>
        <w:numPr>
          <w:ilvl w:val="0"/>
          <w:numId w:val="10"/>
        </w:numPr>
      </w:pPr>
      <w:r>
        <w:t>The stock traded on all 10 days in the year.</w:t>
      </w:r>
    </w:p>
    <w:p w:rsidR="00282450" w:rsidRDefault="00282450" w:rsidP="00282450">
      <w:pPr>
        <w:pStyle w:val="BodyText"/>
        <w:numPr>
          <w:ilvl w:val="0"/>
          <w:numId w:val="10"/>
        </w:numPr>
      </w:pPr>
      <w:r>
        <w:t>The average daily dollar trading volume of the stock was greater than $1M in September 2012 current dollars, as adjusted by CPI-U.</w:t>
      </w:r>
      <w:r>
        <w:rPr>
          <w:rStyle w:val="FootnoteReference"/>
        </w:rPr>
        <w:footnoteReference w:id="11"/>
      </w:r>
    </w:p>
    <w:p w:rsidR="00282450" w:rsidRDefault="00282450" w:rsidP="00282450">
      <w:pPr>
        <w:pStyle w:val="BodyText"/>
      </w:pPr>
      <w:r>
        <w:t>The low price and one-tick spread filters ensure that the maker-taker fees and rebates are significant relative to the stock price and to the quoted spreads.</w:t>
      </w:r>
      <w:r w:rsidR="00782E89">
        <w:t xml:space="preserve">  A total of 81 stocks appear in the sample. </w:t>
      </w:r>
    </w:p>
    <w:p w:rsidR="00282450" w:rsidRDefault="00282450" w:rsidP="00282450">
      <w:pPr>
        <w:pStyle w:val="BodyText"/>
      </w:pPr>
      <w:r>
        <w:t xml:space="preserve">All statistics reported in this study are weighted averages of statistics collected separately for each stock.  These statistics were weighted by average dollar trading volume to produce results that reflect the importance of each stock in the overall market. </w:t>
      </w:r>
    </w:p>
    <w:p w:rsidR="00C6120D" w:rsidRDefault="000768FC" w:rsidP="00282450">
      <w:pPr>
        <w:pStyle w:val="BodyText"/>
      </w:pPr>
      <w:r>
        <w:t xml:space="preserve">Table 1 presents a characterization of the sample. </w:t>
      </w:r>
      <w:r w:rsidR="00C6120D">
        <w:t xml:space="preserve"> The trade-weighted average price in the sample is $3.83.  On average, these stocks were quoted with one-tick spreads 98% of the time.  The average spread was 1.02 cents, or 0.27</w:t>
      </w:r>
      <w:r w:rsidR="00C15EBA">
        <w:t>%</w:t>
      </w:r>
      <w:r w:rsidR="00C6120D">
        <w:t xml:space="preserve"> of price. </w:t>
      </w:r>
      <w:r w:rsidR="003329D4">
        <w:t xml:space="preserve"> A 0.3¢ rebate represents 7.8 BP of the average price, or approximately three times the typical cost of trading a small market order in a $40 stock with a two-tick spread. </w:t>
      </w:r>
    </w:p>
    <w:p w:rsidR="000768FC" w:rsidRDefault="00C6120D" w:rsidP="00282450">
      <w:pPr>
        <w:pStyle w:val="BodyText"/>
      </w:pPr>
      <w:r>
        <w:t xml:space="preserve">The total number of quotes in the sample is </w:t>
      </w:r>
      <w:r w:rsidRPr="00782E89">
        <w:t>2</w:t>
      </w:r>
      <w:r>
        <w:t>,</w:t>
      </w:r>
      <w:r w:rsidRPr="00782E89">
        <w:t>170</w:t>
      </w:r>
      <w:r>
        <w:t>,</w:t>
      </w:r>
      <w:r w:rsidRPr="00782E89">
        <w:t>181</w:t>
      </w:r>
      <w:r>
        <w:t xml:space="preserve"> of which approximately </w:t>
      </w:r>
      <w:r w:rsidRPr="00782E89">
        <w:t>2</w:t>
      </w:r>
      <w:r>
        <w:t>.</w:t>
      </w:r>
      <w:r w:rsidRPr="00782E89">
        <w:t>05</w:t>
      </w:r>
      <w:r>
        <w:t>M had one-tick spreads</w:t>
      </w:r>
      <w:r w:rsidR="003329D4">
        <w:t xml:space="preserve"> between the </w:t>
      </w:r>
      <w:proofErr w:type="gramStart"/>
      <w:r w:rsidR="003329D4">
        <w:t>bid</w:t>
      </w:r>
      <w:proofErr w:type="gramEnd"/>
      <w:r w:rsidR="003329D4">
        <w:t xml:space="preserve"> and ask prices</w:t>
      </w:r>
      <w:r>
        <w:t xml:space="preserve">. </w:t>
      </w:r>
      <w:r w:rsidR="004B5BF8">
        <w:t xml:space="preserve"> </w:t>
      </w:r>
      <w:r>
        <w:t xml:space="preserve">The total number of trades in the sample is </w:t>
      </w:r>
      <w:r w:rsidRPr="00782E89">
        <w:t>1</w:t>
      </w:r>
      <w:r>
        <w:t>,</w:t>
      </w:r>
      <w:r w:rsidRPr="00782E89">
        <w:t>587</w:t>
      </w:r>
      <w:r>
        <w:t>,</w:t>
      </w:r>
      <w:r w:rsidRPr="00782E89">
        <w:t>785</w:t>
      </w:r>
      <w:r>
        <w:t xml:space="preserve"> of which approximately 1.54M occurred in markets with one-tick spreads.</w:t>
      </w:r>
    </w:p>
    <w:p w:rsidR="00E650D8" w:rsidRDefault="00E650D8" w:rsidP="00E650D8">
      <w:pPr>
        <w:pStyle w:val="Heading6"/>
        <w:numPr>
          <w:ilvl w:val="0"/>
          <w:numId w:val="0"/>
        </w:numPr>
        <w:ind w:left="720" w:hanging="720"/>
      </w:pPr>
      <w:r>
        <w:t>NBBO data</w:t>
      </w:r>
    </w:p>
    <w:p w:rsidR="00852865" w:rsidRDefault="006C1A05" w:rsidP="006C1A05">
      <w:pPr>
        <w:pStyle w:val="BodyText"/>
      </w:pPr>
      <w:r>
        <w:t xml:space="preserve">WRDS produces supplemental </w:t>
      </w:r>
      <w:r w:rsidR="00F13900">
        <w:t>National Best Bid or Offer (</w:t>
      </w:r>
      <w:r>
        <w:t>NBBO</w:t>
      </w:r>
      <w:r w:rsidR="00F13900">
        <w:t>)</w:t>
      </w:r>
      <w:r>
        <w:t xml:space="preserve"> quote files from the TAQ quote files.  These files present the NBBO quote </w:t>
      </w:r>
      <w:r w:rsidR="00F13900">
        <w:t xml:space="preserve">as defined by the </w:t>
      </w:r>
      <w:r w:rsidR="00852865">
        <w:t xml:space="preserve">Consolidated Quote System (CQS) for listed stocks and the Consolidated Quote Service (also </w:t>
      </w:r>
      <w:r w:rsidR="007B366B">
        <w:t xml:space="preserve">known as </w:t>
      </w:r>
      <w:r w:rsidR="00852865">
        <w:t>CQS) for NASDAQ stocks</w:t>
      </w:r>
      <w:r w:rsidR="00F13900">
        <w:t xml:space="preserve">.  </w:t>
      </w:r>
      <w:r w:rsidR="000108E4">
        <w:t>The NBBO consists of the best bid (highest price) and best offer reported by any market</w:t>
      </w:r>
      <w:r w:rsidR="000108E4" w:rsidRPr="000108E4">
        <w:t xml:space="preserve"> </w:t>
      </w:r>
      <w:r w:rsidR="000108E4">
        <w:t>center system participant.</w:t>
      </w:r>
      <w:r w:rsidR="00725735">
        <w:rPr>
          <w:rStyle w:val="FootnoteReference"/>
        </w:rPr>
        <w:footnoteReference w:id="12"/>
      </w:r>
      <w:r w:rsidR="000108E4">
        <w:t xml:space="preserve">  Market center system participant</w:t>
      </w:r>
      <w:r w:rsidR="00852865">
        <w:t>s</w:t>
      </w:r>
      <w:r w:rsidR="000108E4">
        <w:t xml:space="preserve"> are exchanges</w:t>
      </w:r>
      <w:r w:rsidR="00852865">
        <w:t xml:space="preserve"> and </w:t>
      </w:r>
      <w:r w:rsidR="006A5CC9">
        <w:t>NASDAQ</w:t>
      </w:r>
      <w:r w:rsidR="00924805">
        <w:t xml:space="preserve"> dealers</w:t>
      </w:r>
      <w:r w:rsidR="00852865">
        <w:t xml:space="preserve">.  </w:t>
      </w:r>
    </w:p>
    <w:p w:rsidR="007C18CA" w:rsidRDefault="000108E4" w:rsidP="007C18CA">
      <w:pPr>
        <w:pStyle w:val="BodyText"/>
      </w:pPr>
      <w:r>
        <w:t xml:space="preserve">Under the CQS NBBO definition, the NBBO bid and offer sizes are </w:t>
      </w:r>
      <w:r w:rsidR="007C18CA">
        <w:t xml:space="preserve">the </w:t>
      </w:r>
      <w:r>
        <w:t xml:space="preserve">sizes reported by the </w:t>
      </w:r>
      <w:r w:rsidR="007C18CA">
        <w:t xml:space="preserve">first </w:t>
      </w:r>
      <w:r>
        <w:t>market</w:t>
      </w:r>
      <w:r w:rsidR="007C18CA">
        <w:t xml:space="preserve"> center to quote at the best bid or offer prices.  </w:t>
      </w:r>
      <w:r w:rsidR="007B366B">
        <w:t>&lt;&lt;</w:t>
      </w:r>
      <w:r w:rsidR="007C18CA">
        <w:t xml:space="preserve">On my request, WRDS is in the process of computing the NBBO sizes based on the aggregate size of all market centers quoting at the NBBO.  Since the later data are more likely to better valuation decisions made by </w:t>
      </w:r>
      <w:r w:rsidR="00EA4E00">
        <w:t>traders, they will be used in the next version of this study when they become available.</w:t>
      </w:r>
      <w:r w:rsidR="007B366B">
        <w:t>&gt;&gt;</w:t>
      </w:r>
      <w:r w:rsidR="00EA4E00">
        <w:t xml:space="preserve">  The NBBO quote data are calculated at one-second intervals</w:t>
      </w:r>
      <w:r w:rsidR="00711907">
        <w:t xml:space="preserve"> and reported whenever any component changes.  </w:t>
      </w:r>
      <w:r w:rsidR="00C2015E">
        <w:t xml:space="preserve">Changes occur when prices, sizes, or the market center identified with a bid or offer size change.  </w:t>
      </w:r>
    </w:p>
    <w:p w:rsidR="00202622" w:rsidRDefault="00711907" w:rsidP="007C18CA">
      <w:pPr>
        <w:pStyle w:val="BodyText"/>
      </w:pPr>
      <w:r>
        <w:t>This study analyzes the NBBO data both in transaction time and in chronological time.  The transaction time</w:t>
      </w:r>
      <w:r w:rsidR="00C2015E">
        <w:t xml:space="preserve"> analyses examine the NBBO quotes every time that any price or size changes.  This analysis thus </w:t>
      </w:r>
      <w:r w:rsidR="003E41EA">
        <w:t xml:space="preserve">excludes </w:t>
      </w:r>
      <w:r w:rsidR="00C2015E">
        <w:t xml:space="preserve">NBBO quotation records for which the only change was a change in the market center reporting the best quote. </w:t>
      </w:r>
      <w:r w:rsidR="006753AF">
        <w:t xml:space="preserve"> </w:t>
      </w:r>
      <w:r w:rsidR="00202622">
        <w:t xml:space="preserve">For </w:t>
      </w:r>
      <w:r w:rsidR="003E41EA">
        <w:t xml:space="preserve">the </w:t>
      </w:r>
      <w:r w:rsidR="00202622">
        <w:t>transaction time analyses</w:t>
      </w:r>
      <w:r w:rsidR="00A477E6">
        <w:t xml:space="preserve"> of </w:t>
      </w:r>
      <w:proofErr w:type="spellStart"/>
      <w:r w:rsidR="00A477E6">
        <w:t>univariate</w:t>
      </w:r>
      <w:proofErr w:type="spellEnd"/>
      <w:r w:rsidR="00A477E6">
        <w:t xml:space="preserve"> distributions</w:t>
      </w:r>
      <w:r w:rsidR="00202622">
        <w:t>, I weighted</w:t>
      </w:r>
      <w:r w:rsidR="00A477E6">
        <w:t xml:space="preserve"> </w:t>
      </w:r>
      <w:r w:rsidR="00202622">
        <w:t>statistics by the standing time of the quote taken as the time since the la</w:t>
      </w:r>
      <w:r w:rsidR="00035A64">
        <w:t>st quote record in the sample</w:t>
      </w:r>
      <w:r w:rsidR="003E41EA">
        <w:t>, ignoring the excluded quotes.</w:t>
      </w:r>
      <w:r w:rsidR="00A477E6">
        <w:rPr>
          <w:rStyle w:val="FootnoteReference"/>
        </w:rPr>
        <w:footnoteReference w:id="13"/>
      </w:r>
      <w:r w:rsidR="003E41EA">
        <w:t xml:space="preserve"> </w:t>
      </w:r>
    </w:p>
    <w:p w:rsidR="00711907" w:rsidRDefault="006753AF" w:rsidP="007C18CA">
      <w:pPr>
        <w:pStyle w:val="BodyText"/>
      </w:pPr>
      <w:r>
        <w:t xml:space="preserve">The chronological time analyses examine the last reports of NBBO data within various specified time intervals.  If the NBBO did not change within an interval, I assigned the last reported NBBO to that interval. </w:t>
      </w:r>
    </w:p>
    <w:p w:rsidR="00887E21" w:rsidRDefault="00F75808" w:rsidP="007C18CA">
      <w:pPr>
        <w:pStyle w:val="BodyText"/>
      </w:pPr>
      <w:r>
        <w:t xml:space="preserve">The quotes </w:t>
      </w:r>
      <w:r w:rsidR="00B72E32">
        <w:t>are</w:t>
      </w:r>
      <w:r>
        <w:t xml:space="preserve"> filtered to eliminate locked markets (bid equal to ask) and crossed markets (bid </w:t>
      </w:r>
      <w:r w:rsidR="004E72E5">
        <w:t xml:space="preserve">greater than </w:t>
      </w:r>
      <w:r>
        <w:t xml:space="preserve">ask) and all quotes for which the spread was greater than 20% of the bid price.  The rules that govern the national market system </w:t>
      </w:r>
      <w:r w:rsidR="004653C9">
        <w:t>(</w:t>
      </w:r>
      <w:proofErr w:type="gramStart"/>
      <w:r w:rsidR="004653C9">
        <w:t>ITS</w:t>
      </w:r>
      <w:proofErr w:type="gramEnd"/>
      <w:r w:rsidR="004653C9">
        <w:t xml:space="preserve"> </w:t>
      </w:r>
      <w:r w:rsidR="007810EF">
        <w:t>Plan</w:t>
      </w:r>
      <w:r w:rsidR="007810EF">
        <w:rPr>
          <w:rStyle w:val="FootnoteReference"/>
        </w:rPr>
        <w:footnoteReference w:id="14"/>
      </w:r>
      <w:r w:rsidR="007810EF">
        <w:t xml:space="preserve"> </w:t>
      </w:r>
      <w:r w:rsidR="004653C9">
        <w:t xml:space="preserve">and </w:t>
      </w:r>
      <w:r w:rsidR="00294276">
        <w:t xml:space="preserve">after 2005, </w:t>
      </w:r>
      <w:r w:rsidR="004653C9">
        <w:t>Reg</w:t>
      </w:r>
      <w:r w:rsidR="006A5CC9">
        <w:t>ulation</w:t>
      </w:r>
      <w:r w:rsidR="004653C9">
        <w:t xml:space="preserve"> NMS) </w:t>
      </w:r>
      <w:r w:rsidR="00294276">
        <w:t xml:space="preserve">are designed to prohibit </w:t>
      </w:r>
      <w:r w:rsidR="00887E21">
        <w:t xml:space="preserve">locked and crossed markets.  However, locked and crossed markets occasionally arise by chance due to system latencies or when trading systems fail.  They are excluded because they represent irregular periods when values are not well known.  Large spreads </w:t>
      </w:r>
      <w:r w:rsidR="00B72E32">
        <w:t>are</w:t>
      </w:r>
      <w:r w:rsidR="00887E21">
        <w:t xml:space="preserve"> excluded to eliminate potential data errors.  </w:t>
      </w:r>
    </w:p>
    <w:p w:rsidR="00282450" w:rsidRDefault="00282450" w:rsidP="007C18CA">
      <w:pPr>
        <w:pStyle w:val="BodyText"/>
      </w:pPr>
      <w:r>
        <w:t xml:space="preserve">Quotes for which the bid was less than $1.00 </w:t>
      </w:r>
      <w:r w:rsidR="00B72E32">
        <w:t>are</w:t>
      </w:r>
      <w:r>
        <w:t xml:space="preserve"> excluded from analysis because the minimum price variation </w:t>
      </w:r>
      <w:r w:rsidR="004F68E2">
        <w:t xml:space="preserve">(tick) </w:t>
      </w:r>
      <w:r>
        <w:t xml:space="preserve">for stocks trading under a $1.00 is less than </w:t>
      </w:r>
      <w:r w:rsidR="004F68E2">
        <w:t>the standard 1</w:t>
      </w:r>
      <w:r w:rsidR="004F68E2">
        <w:rPr>
          <w:rFonts w:cstheme="minorHAnsi"/>
        </w:rPr>
        <w:t>¢</w:t>
      </w:r>
      <w:r w:rsidR="004F68E2">
        <w:t xml:space="preserve">. </w:t>
      </w:r>
    </w:p>
    <w:p w:rsidR="00E650D8" w:rsidRDefault="00E650D8" w:rsidP="00E650D8">
      <w:pPr>
        <w:pStyle w:val="Heading6"/>
        <w:numPr>
          <w:ilvl w:val="0"/>
          <w:numId w:val="0"/>
        </w:numPr>
        <w:ind w:left="720" w:hanging="720"/>
      </w:pPr>
      <w:r>
        <w:t>Trades</w:t>
      </w:r>
    </w:p>
    <w:p w:rsidR="008D2D0E" w:rsidRDefault="008D2D0E" w:rsidP="007C18CA">
      <w:pPr>
        <w:pStyle w:val="BodyText"/>
      </w:pPr>
      <w:r>
        <w:t>For each reported trade, I assigned a quote using a modification of the simple Lee and Ready (19</w:t>
      </w:r>
      <w:r w:rsidR="0005790A">
        <w:t>91</w:t>
      </w:r>
      <w:r>
        <w:t xml:space="preserve">) algorithm.  </w:t>
      </w:r>
      <w:r w:rsidRPr="00964DB3">
        <w:rPr>
          <w:vanish/>
        </w:rPr>
        <w:t xml:space="preserve">For each sample year, </w:t>
      </w:r>
      <w:r>
        <w:t xml:space="preserve">I first identified the quotation lead time </w:t>
      </w:r>
      <w:r w:rsidR="00F76AD9">
        <w:t xml:space="preserve">that </w:t>
      </w:r>
      <w:r>
        <w:t xml:space="preserve">maximized the percentage of trades </w:t>
      </w:r>
      <w:r w:rsidR="000246A4">
        <w:t xml:space="preserve">that occurred at the NBBO.  </w:t>
      </w:r>
      <w:r w:rsidR="00F76AD9">
        <w:t>T</w:t>
      </w:r>
      <w:r w:rsidR="000246A4" w:rsidRPr="00F76AD9">
        <w:rPr>
          <w:vanish/>
        </w:rPr>
        <w:t>For all three years analyzed, t</w:t>
      </w:r>
      <w:r w:rsidR="000246A4">
        <w:t>his lead was zero seconds.  I then assigned to each trade the NBBO quote standing as of one second earlier.  The one second lead helps ensure that the quotation associated with a trade was</w:t>
      </w:r>
      <w:r w:rsidR="003D61E2">
        <w:t xml:space="preserve"> </w:t>
      </w:r>
      <w:r w:rsidR="000246A4">
        <w:t xml:space="preserve">standing before the trade occurred and not a quotation that resulted </w:t>
      </w:r>
      <w:r w:rsidR="00B9225B">
        <w:t xml:space="preserve">from or was influenced by </w:t>
      </w:r>
      <w:r w:rsidR="000246A4">
        <w:t xml:space="preserve">the execution of the trade.  The latter condition </w:t>
      </w:r>
      <w:r w:rsidR="00FC42A0">
        <w:t xml:space="preserve">often </w:t>
      </w:r>
      <w:r w:rsidR="000246A4">
        <w:t>arise</w:t>
      </w:r>
      <w:r w:rsidR="00FC42A0">
        <w:t xml:space="preserve">s because TAQ </w:t>
      </w:r>
      <w:r w:rsidR="00B9225B">
        <w:t xml:space="preserve">reports </w:t>
      </w:r>
      <w:r w:rsidR="00FC42A0">
        <w:t xml:space="preserve">quotation data as of the end of </w:t>
      </w:r>
      <w:r w:rsidR="007E5F31">
        <w:t>one-second intervals.</w:t>
      </w:r>
    </w:p>
    <w:p w:rsidR="007F6B63" w:rsidRDefault="007F6B63" w:rsidP="007F6B63">
      <w:pPr>
        <w:pStyle w:val="Heading6"/>
        <w:numPr>
          <w:ilvl w:val="0"/>
          <w:numId w:val="0"/>
        </w:numPr>
        <w:ind w:left="720" w:hanging="720"/>
      </w:pPr>
      <w:r>
        <w:t xml:space="preserve">The Value Estimates </w:t>
      </w:r>
    </w:p>
    <w:p w:rsidR="007F6B63" w:rsidRPr="000341CF" w:rsidRDefault="007F6B63" w:rsidP="007C18CA">
      <w:pPr>
        <w:pStyle w:val="BodyText"/>
      </w:pPr>
      <w:r>
        <w:t xml:space="preserve">Value and adjusted value estimates </w:t>
      </w:r>
      <w:r w:rsidR="00210944">
        <w:t>are</w:t>
      </w:r>
      <w:r>
        <w:t xml:space="preserve"> computed using equations </w:t>
      </w:r>
      <w:r w:rsidR="003B291D">
        <w:t xml:space="preserve">(2) </w:t>
      </w:r>
      <w:r>
        <w:t xml:space="preserve">and </w:t>
      </w:r>
      <w:r w:rsidR="003B291D">
        <w:t>(6)</w:t>
      </w:r>
      <w:r>
        <w:t xml:space="preserve">.  </w:t>
      </w:r>
      <w:r w:rsidR="004B4A37">
        <w:t xml:space="preserve">As discussed in section 2, the effect of maker-taker fees on spreads depends on how the burden of the </w:t>
      </w:r>
      <w:r w:rsidR="000341CF">
        <w:t xml:space="preserve">exchange net fees—the </w:t>
      </w:r>
      <w:r w:rsidR="004B4A37">
        <w:t xml:space="preserve">difference between the </w:t>
      </w:r>
      <w:r w:rsidR="00D86B47">
        <w:t>0.3</w:t>
      </w:r>
      <w:r w:rsidR="00D86B47">
        <w:rPr>
          <w:rFonts w:cstheme="minorHAnsi"/>
        </w:rPr>
        <w:t>¢</w:t>
      </w:r>
      <w:r w:rsidR="00D86B47">
        <w:t xml:space="preserve"> </w:t>
      </w:r>
      <w:r w:rsidR="004B4A37">
        <w:t xml:space="preserve">access fee and the </w:t>
      </w:r>
      <w:r w:rsidR="00D86B47">
        <w:t>2.5</w:t>
      </w:r>
      <w:r w:rsidR="00D86B47">
        <w:rPr>
          <w:rFonts w:cstheme="minorHAnsi"/>
        </w:rPr>
        <w:t>¢</w:t>
      </w:r>
      <w:r w:rsidR="00D86B47">
        <w:t xml:space="preserve"> </w:t>
      </w:r>
      <w:r w:rsidR="004B4A37">
        <w:t xml:space="preserve">liquidity </w:t>
      </w:r>
      <w:r w:rsidR="000341CF">
        <w:t xml:space="preserve">rebate—is shared between the maker and the taker.  </w:t>
      </w:r>
      <w:r w:rsidR="00D86B47">
        <w:t>T</w:t>
      </w:r>
      <w:r w:rsidR="000341CF">
        <w:t>he analys</w:t>
      </w:r>
      <w:r w:rsidR="00D86B47">
        <w:t xml:space="preserve">es assume that this </w:t>
      </w:r>
      <w:r w:rsidR="000341CF">
        <w:t>burden is split equally so that</w:t>
      </w:r>
      <w:r w:rsidR="00D86B47">
        <w:t xml:space="preserve"> </w:t>
      </w:r>
      <w:r w:rsidR="007C6EBE">
        <w:t xml:space="preserve">the adjusted value estimates are computed using </w:t>
      </w:r>
      <w:r w:rsidR="00D86B47">
        <w:t xml:space="preserve">a value </w:t>
      </w:r>
      <w:proofErr w:type="gramStart"/>
      <w:r w:rsidR="00D86B47">
        <w:t>of</w:t>
      </w:r>
      <w:r w:rsidR="000341CF">
        <w:t xml:space="preserve"> </w:t>
      </w:r>
      <w:proofErr w:type="gramEnd"/>
      <m:oMath>
        <m:r>
          <w:rPr>
            <w:rFonts w:ascii="Cambria Math" w:hAnsi="Cambria Math"/>
          </w:rPr>
          <m:t>c=0.275</m:t>
        </m:r>
        <m:r>
          <w:rPr>
            <w:rFonts w:ascii="Cambria Math" w:hAnsi="Cambria Math" w:cstheme="minorHAnsi"/>
          </w:rPr>
          <m:t>¢</m:t>
        </m:r>
      </m:oMath>
      <w:r w:rsidR="007C6EBE">
        <w:t xml:space="preserve">.  </w:t>
      </w:r>
    </w:p>
    <w:p w:rsidR="007E1435" w:rsidRDefault="007E1435" w:rsidP="008B2A23">
      <w:pPr>
        <w:pStyle w:val="Heading1"/>
      </w:pPr>
      <w:r>
        <w:t>Results</w:t>
      </w:r>
    </w:p>
    <w:p w:rsidR="008F765F" w:rsidRDefault="008F765F" w:rsidP="008F765F">
      <w:pPr>
        <w:pStyle w:val="BodyText"/>
      </w:pPr>
      <w:r>
        <w:t xml:space="preserve">The presentation of the results starts with evidence that the </w:t>
      </w:r>
      <w:r w:rsidR="00E15E55">
        <w:t xml:space="preserve">true value estimates based upon weighted average spreads are indeed more informative than value estimates based on quotation midpoints.  </w:t>
      </w:r>
      <w:r w:rsidR="002E7B6E">
        <w:t>Next, e</w:t>
      </w:r>
      <w:r w:rsidR="00E15E55">
        <w:t xml:space="preserve">vidence that traders are aware of the information in these estimates is presented, followed by evidence </w:t>
      </w:r>
      <w:r w:rsidR="001C54D0">
        <w:t xml:space="preserve">of how </w:t>
      </w:r>
      <w:r w:rsidR="00E15E55">
        <w:t>maker-taker fees</w:t>
      </w:r>
      <w:r w:rsidR="001C54D0">
        <w:t xml:space="preserve"> affect the </w:t>
      </w:r>
      <w:proofErr w:type="spellStart"/>
      <w:r w:rsidR="001C54D0">
        <w:t>univariate</w:t>
      </w:r>
      <w:proofErr w:type="spellEnd"/>
      <w:r w:rsidR="001C54D0">
        <w:t xml:space="preserve"> and bivariate distributions of sub-penny values</w:t>
      </w:r>
      <w:r w:rsidR="00E15E55">
        <w:t xml:space="preserve">. </w:t>
      </w:r>
      <w:r w:rsidR="001C54D0">
        <w:t xml:space="preserve"> </w:t>
      </w:r>
      <w:r w:rsidR="00E15E55" w:rsidRPr="00210944">
        <w:rPr>
          <w:vanish/>
        </w:rPr>
        <w:t xml:space="preserve">Finally, I present some </w:t>
      </w:r>
      <w:r w:rsidR="006427F2" w:rsidRPr="00210944">
        <w:rPr>
          <w:vanish/>
        </w:rPr>
        <w:t xml:space="preserve">results </w:t>
      </w:r>
      <w:r w:rsidR="00E15E55" w:rsidRPr="00210944">
        <w:rPr>
          <w:vanish/>
        </w:rPr>
        <w:t xml:space="preserve">that </w:t>
      </w:r>
      <w:r w:rsidR="006427F2" w:rsidRPr="00210944">
        <w:rPr>
          <w:vanish/>
        </w:rPr>
        <w:t xml:space="preserve">show that </w:t>
      </w:r>
      <w:r w:rsidR="00E15E55" w:rsidRPr="00210944">
        <w:rPr>
          <w:vanish/>
        </w:rPr>
        <w:t>the maker-taker model provides an incomplete description of the data, and suggest a</w:t>
      </w:r>
      <w:r w:rsidR="006427F2" w:rsidRPr="00210944">
        <w:rPr>
          <w:vanish/>
        </w:rPr>
        <w:t>n alternative</w:t>
      </w:r>
      <w:r w:rsidR="00E15E55" w:rsidRPr="00210944">
        <w:rPr>
          <w:vanish/>
        </w:rPr>
        <w:t xml:space="preserve"> mod</w:t>
      </w:r>
      <w:r w:rsidR="006427F2" w:rsidRPr="00210944">
        <w:rPr>
          <w:vanish/>
        </w:rPr>
        <w:t xml:space="preserve">el. </w:t>
      </w:r>
    </w:p>
    <w:p w:rsidR="007E1435" w:rsidRDefault="007E5F31" w:rsidP="008B2A23">
      <w:pPr>
        <w:pStyle w:val="Heading2"/>
      </w:pPr>
      <w:r>
        <w:t>The True Value Estimates A</w:t>
      </w:r>
      <w:r w:rsidR="007E1435">
        <w:t xml:space="preserve">re </w:t>
      </w:r>
      <w:r>
        <w:t>I</w:t>
      </w:r>
      <w:r w:rsidR="007E1435">
        <w:t>nformative</w:t>
      </w:r>
    </w:p>
    <w:p w:rsidR="00022AEC" w:rsidRDefault="00022AEC" w:rsidP="007E5F31">
      <w:pPr>
        <w:pStyle w:val="Heading3"/>
      </w:pPr>
      <w:r>
        <w:t>Cross-sectional correlations</w:t>
      </w:r>
    </w:p>
    <w:p w:rsidR="00D64C13" w:rsidRDefault="001D7BEE" w:rsidP="007E5F31">
      <w:pPr>
        <w:pStyle w:val="BodyText"/>
      </w:pPr>
      <w:r>
        <w:t xml:space="preserve">An examination of cross-sectional correlations of contemporaneous return series computed from various estimates of value shows that both the unadjusted and adjusted estimates of true value are </w:t>
      </w:r>
      <w:r w:rsidR="00D64C13">
        <w:t xml:space="preserve">better estimates </w:t>
      </w:r>
      <w:r>
        <w:t xml:space="preserve">of value than the quotation midpoint, which </w:t>
      </w:r>
      <w:r w:rsidR="00AD31F5">
        <w:t xml:space="preserve">commonly </w:t>
      </w:r>
      <w:r>
        <w:t xml:space="preserve">is used for this purpose.  </w:t>
      </w:r>
      <w:r w:rsidR="002E7B6E">
        <w:t>For each security in the sample</w:t>
      </w:r>
      <w:r w:rsidR="002E7B6E" w:rsidRPr="000E478A">
        <w:rPr>
          <w:vanish/>
        </w:rPr>
        <w:t xml:space="preserve"> and for each year</w:t>
      </w:r>
      <w:r w:rsidR="002E7B6E">
        <w:t xml:space="preserve">, I obtained time series of quotation returns sampled at various </w:t>
      </w:r>
      <w:r w:rsidR="00863185">
        <w:t xml:space="preserve">chronological time </w:t>
      </w:r>
      <w:r w:rsidR="002E7B6E">
        <w:t>intervals</w:t>
      </w:r>
      <w:r w:rsidR="00863185">
        <w:t xml:space="preserve"> based three estimates of value:  The quotation midpoint and the unadjusted and adjusted value estimates</w:t>
      </w:r>
      <w:r w:rsidR="002E7B6E">
        <w:t>.</w:t>
      </w:r>
      <w:r w:rsidR="00D0381B">
        <w:rPr>
          <w:rStyle w:val="FootnoteReference"/>
        </w:rPr>
        <w:footnoteReference w:id="15"/>
      </w:r>
      <w:r w:rsidR="002E7B6E">
        <w:t xml:space="preserve">  </w:t>
      </w:r>
      <w:r w:rsidR="00863185">
        <w:t xml:space="preserve">For each estimator, I then computed all pairwise correlations among the stocks.  </w:t>
      </w:r>
    </w:p>
    <w:p w:rsidR="009F7628" w:rsidRDefault="00863185" w:rsidP="007E5F31">
      <w:pPr>
        <w:pStyle w:val="BodyText"/>
      </w:pPr>
      <w:r>
        <w:t>The average of the pairwise correlations appear</w:t>
      </w:r>
      <w:r w:rsidR="00587D88">
        <w:t>s</w:t>
      </w:r>
      <w:r>
        <w:t xml:space="preserve"> in Table </w:t>
      </w:r>
      <w:r w:rsidR="000768FC">
        <w:t>2</w:t>
      </w:r>
      <w:r>
        <w:t xml:space="preserve">.  </w:t>
      </w:r>
      <w:r w:rsidR="009F7628">
        <w:t>The correlations rise as the length of the observational interval increases because common factor variance rises with time whereas the noise due to market frictions probably is fairly constant</w:t>
      </w:r>
      <w:r w:rsidR="00D013EC">
        <w:t xml:space="preserve"> because it arises from individual trades.  Thus common factors become a more important determinant of overall variance at longer sampling intervals. </w:t>
      </w:r>
    </w:p>
    <w:p w:rsidR="00D013EC" w:rsidRDefault="00863185" w:rsidP="007E5F31">
      <w:pPr>
        <w:pStyle w:val="BodyText"/>
      </w:pPr>
      <w:r>
        <w:t xml:space="preserve">As expected, at most </w:t>
      </w:r>
      <w:r w:rsidR="0042088F">
        <w:t xml:space="preserve">time </w:t>
      </w:r>
      <w:r>
        <w:t xml:space="preserve">intervals, </w:t>
      </w:r>
      <w:r w:rsidR="0042088F">
        <w:t>the average correlation is lowest for the midpoint value estimat</w:t>
      </w:r>
      <w:r w:rsidR="003642D0">
        <w:t>es</w:t>
      </w:r>
      <w:r w:rsidR="0042088F">
        <w:t xml:space="preserve"> and highest for the adjusted value estimat</w:t>
      </w:r>
      <w:r w:rsidR="003642D0">
        <w:t>es</w:t>
      </w:r>
      <w:r w:rsidR="0042088F">
        <w:t xml:space="preserve">.  </w:t>
      </w:r>
      <w:r w:rsidR="00D013EC">
        <w:t>These results suggest that quotation size information is informative and that accounting for the maker</w:t>
      </w:r>
      <w:r w:rsidR="004B4A37">
        <w:t>-</w:t>
      </w:r>
      <w:r w:rsidR="00D013EC">
        <w:t xml:space="preserve">taker fees helps </w:t>
      </w:r>
      <w:r w:rsidR="00BD6C83">
        <w:t xml:space="preserve">to </w:t>
      </w:r>
      <w:r w:rsidR="00D013EC">
        <w:t xml:space="preserve">better organize the information in the quotation sizes.  </w:t>
      </w:r>
    </w:p>
    <w:p w:rsidR="00863185" w:rsidRPr="001D5E87" w:rsidRDefault="0042088F" w:rsidP="007E5F31">
      <w:pPr>
        <w:pStyle w:val="BodyText"/>
      </w:pPr>
      <w:r>
        <w:t>To determine whether these differences are statistically significant, I constructed p</w:t>
      </w:r>
      <w:r w:rsidR="00863185">
        <w:t xml:space="preserve">aired </w:t>
      </w:r>
      <w:r w:rsidR="00863185" w:rsidRPr="00E560AF">
        <w:rPr>
          <w:i/>
        </w:rPr>
        <w:t>t</w:t>
      </w:r>
      <w:r w:rsidR="00863185">
        <w:t>-tests</w:t>
      </w:r>
      <w:r>
        <w:t xml:space="preserve"> for each of the three comparisons:  midpoint versus unadjusted, adjusted versus unadjusted, and midpoint versus adjusted.  </w:t>
      </w:r>
      <w:r w:rsidR="00934B5D">
        <w:t>I computed t</w:t>
      </w:r>
      <w:r>
        <w:t xml:space="preserve">hese statistics by </w:t>
      </w:r>
      <w:r w:rsidR="007B5413">
        <w:t xml:space="preserve">differencing </w:t>
      </w:r>
      <w:r w:rsidR="00934B5D">
        <w:t xml:space="preserve">the </w:t>
      </w:r>
      <w:r w:rsidR="007B5413">
        <w:t>value estimate</w:t>
      </w:r>
      <w:r w:rsidR="00934B5D">
        <w:t xml:space="preserve"> correlations</w:t>
      </w:r>
      <w:r w:rsidR="007B5413">
        <w:t xml:space="preserve"> </w:t>
      </w:r>
      <w:r w:rsidR="00934B5D">
        <w:t xml:space="preserve">computed </w:t>
      </w:r>
      <w:r w:rsidR="007B5413">
        <w:t xml:space="preserve">for each security pair.  </w:t>
      </w:r>
      <w:r w:rsidR="00934B5D">
        <w:t xml:space="preserve">I then applied the </w:t>
      </w:r>
      <w:r w:rsidR="007B5413" w:rsidRPr="00E560AF">
        <w:rPr>
          <w:i/>
        </w:rPr>
        <w:t>t</w:t>
      </w:r>
      <w:r w:rsidR="007B5413">
        <w:t>-test to the sample of differences</w:t>
      </w:r>
      <w:r w:rsidR="00934B5D">
        <w:t xml:space="preserve">.  </w:t>
      </w:r>
      <w:r w:rsidR="00BD6C83">
        <w:t>Th</w:t>
      </w:r>
      <w:r w:rsidR="00934B5D">
        <w:t>is</w:t>
      </w:r>
      <w:r w:rsidR="00BD6C83">
        <w:t xml:space="preserve"> </w:t>
      </w:r>
      <w:r w:rsidR="007F22D4" w:rsidRPr="007F22D4">
        <w:rPr>
          <w:i/>
        </w:rPr>
        <w:t>t</w:t>
      </w:r>
      <w:r w:rsidR="007F22D4">
        <w:t xml:space="preserve">-statistic does not have the </w:t>
      </w:r>
      <w:r w:rsidR="00BD6C83">
        <w:t xml:space="preserve">standard </w:t>
      </w:r>
      <w:r w:rsidR="007F22D4">
        <w:t>Student-</w:t>
      </w:r>
      <w:r w:rsidR="007F22D4" w:rsidRPr="007F22D4">
        <w:rPr>
          <w:i/>
        </w:rPr>
        <w:t>t</w:t>
      </w:r>
      <w:r w:rsidR="007F22D4">
        <w:t xml:space="preserve"> distribution under the null of no difference </w:t>
      </w:r>
      <w:r w:rsidR="00BD6C83">
        <w:t xml:space="preserve">because the </w:t>
      </w:r>
      <m:oMath>
        <m:r>
          <w:rPr>
            <w:rFonts w:ascii="Cambria Math" w:hAnsi="Cambria Math"/>
          </w:rPr>
          <m:t>n(n-1)/2</m:t>
        </m:r>
      </m:oMath>
      <w:r w:rsidR="00BD6C83">
        <w:t xml:space="preserve"> different </w:t>
      </w:r>
      <w:r w:rsidR="00160026">
        <w:t xml:space="preserve">pairwise </w:t>
      </w:r>
      <w:r w:rsidR="00BD6C83">
        <w:t xml:space="preserve">correlations are not independent.  </w:t>
      </w:r>
      <w:r w:rsidR="001D5E87">
        <w:t xml:space="preserve">Accordingly, I created a bootstrap distribution for the </w:t>
      </w:r>
      <w:r w:rsidR="001D5E87">
        <w:rPr>
          <w:i/>
        </w:rPr>
        <w:t>t</w:t>
      </w:r>
      <w:r w:rsidR="001D5E87">
        <w:t xml:space="preserve">-statistics by sampling at random from the correlation triplets.  The results indicate that the </w:t>
      </w:r>
      <w:r w:rsidR="00160026">
        <w:t xml:space="preserve">reported </w:t>
      </w:r>
      <w:r w:rsidR="001D5E87" w:rsidRPr="00160026">
        <w:rPr>
          <w:i/>
        </w:rPr>
        <w:t>t</w:t>
      </w:r>
      <w:r w:rsidR="001D5E87">
        <w:t>-statistics are al</w:t>
      </w:r>
      <w:r w:rsidR="003642D0">
        <w:t>l</w:t>
      </w:r>
      <w:r w:rsidR="001D5E87">
        <w:t xml:space="preserve"> statistically significant</w:t>
      </w:r>
      <w:r w:rsidR="00424BA7">
        <w:t xml:space="preserve"> at the 0.01 significance level</w:t>
      </w:r>
      <w:r w:rsidR="001D5E87">
        <w:t>.</w:t>
      </w:r>
      <w:r w:rsidR="001A6DF0">
        <w:rPr>
          <w:rStyle w:val="FootnoteReference"/>
        </w:rPr>
        <w:footnoteReference w:id="16"/>
      </w:r>
      <w:r w:rsidR="001D5E87">
        <w:t xml:space="preserve">  </w:t>
      </w:r>
    </w:p>
    <w:p w:rsidR="00022AEC" w:rsidRDefault="00022AEC" w:rsidP="00022AEC">
      <w:pPr>
        <w:pStyle w:val="Heading3"/>
      </w:pPr>
      <w:r>
        <w:t>Serial Correlations</w:t>
      </w:r>
      <w:r w:rsidR="006F17DF">
        <w:t xml:space="preserve"> and Time-Series Variances</w:t>
      </w:r>
    </w:p>
    <w:p w:rsidR="002A08CF" w:rsidRDefault="00160026" w:rsidP="006427F2">
      <w:pPr>
        <w:pStyle w:val="BodyText"/>
      </w:pPr>
      <w:r>
        <w:t xml:space="preserve">In principle, serial correlations can help identify </w:t>
      </w:r>
      <w:r w:rsidR="003A30AE">
        <w:t xml:space="preserve">the quality of a value estimate, but as noted in </w:t>
      </w:r>
      <w:r w:rsidR="00B009FD">
        <w:t>S</w:t>
      </w:r>
      <w:r w:rsidR="003A30AE">
        <w:t>ection 3, any such inferences must assume that true value serial correlations would be zero at high frequencies</w:t>
      </w:r>
      <w:r w:rsidR="006F17DF">
        <w:t>, which is problematic</w:t>
      </w:r>
      <w:r w:rsidR="003A30AE">
        <w:t xml:space="preserve">.  </w:t>
      </w:r>
      <w:r w:rsidR="002A08CF">
        <w:t>Since time-series variances depend on serial correlations, inferences based upon them face a similar problem.</w:t>
      </w:r>
    </w:p>
    <w:p w:rsidR="00A72264" w:rsidRDefault="00565810" w:rsidP="006427F2">
      <w:pPr>
        <w:pStyle w:val="BodyText"/>
      </w:pPr>
      <w:r>
        <w:t xml:space="preserve">With this caveat in mind, Table </w:t>
      </w:r>
      <w:r w:rsidR="000768FC">
        <w:t>3</w:t>
      </w:r>
      <w:r>
        <w:t xml:space="preserve"> presents mean cross-sectional </w:t>
      </w:r>
      <w:r w:rsidR="006F17DF">
        <w:t xml:space="preserve">return </w:t>
      </w:r>
      <w:r>
        <w:t xml:space="preserve">serial correlations </w:t>
      </w:r>
      <w:r w:rsidR="00A32B0D">
        <w:t xml:space="preserve">and variance </w:t>
      </w:r>
      <w:r w:rsidR="006F17DF" w:rsidRPr="003F5909">
        <w:rPr>
          <w:vanish/>
        </w:rPr>
        <w:t xml:space="preserve">for each year </w:t>
      </w:r>
      <w:r w:rsidR="006F17DF">
        <w:t xml:space="preserve">measured at various </w:t>
      </w:r>
      <w:r w:rsidR="009B6D1B">
        <w:t xml:space="preserve">transaction and chronological time </w:t>
      </w:r>
      <w:r w:rsidR="006F17DF">
        <w:t>intervals.</w:t>
      </w:r>
      <w:r w:rsidR="00A32B0D">
        <w:rPr>
          <w:rStyle w:val="FootnoteReference"/>
        </w:rPr>
        <w:footnoteReference w:id="17"/>
      </w:r>
      <w:r w:rsidR="006F17DF">
        <w:t xml:space="preserve">  The </w:t>
      </w:r>
      <w:r w:rsidR="002A08CF">
        <w:t xml:space="preserve">most notable result is that average serial correlations over intervals as short </w:t>
      </w:r>
      <w:r w:rsidR="00936921">
        <w:t xml:space="preserve">as one second are very small.  Although these cross-sectional means generally are statistically different from zero (based on a cross-sectional </w:t>
      </w:r>
      <w:r w:rsidR="00936921">
        <w:rPr>
          <w:i/>
        </w:rPr>
        <w:t>t-</w:t>
      </w:r>
      <w:r w:rsidR="00936921">
        <w:t xml:space="preserve">test), the </w:t>
      </w:r>
      <w:r w:rsidR="00A54E57" w:rsidRPr="00A54E57">
        <w:rPr>
          <w:i/>
        </w:rPr>
        <w:t>p</w:t>
      </w:r>
      <w:r w:rsidR="00A54E57">
        <w:t xml:space="preserve">-values </w:t>
      </w:r>
      <w:r w:rsidR="00A72264">
        <w:t>are not especially small.  Moreover, since the returns are correlated to some extent i</w:t>
      </w:r>
      <w:r w:rsidR="003F5909">
        <w:t>n cross-section, the significance</w:t>
      </w:r>
      <w:r w:rsidR="00A72264">
        <w:t xml:space="preserve"> levels for the </w:t>
      </w:r>
      <w:r w:rsidR="00A72264" w:rsidRPr="00A72264">
        <w:rPr>
          <w:i/>
        </w:rPr>
        <w:t>t</w:t>
      </w:r>
      <w:r w:rsidR="00A72264">
        <w:t xml:space="preserve">-statistics will be overstated.  These results show that markets are quite efficient even over short </w:t>
      </w:r>
      <w:r w:rsidR="00B009FD">
        <w:t>intervals</w:t>
      </w:r>
      <w:r w:rsidR="00A72264">
        <w:t xml:space="preserve">. </w:t>
      </w:r>
    </w:p>
    <w:p w:rsidR="00E55BA6" w:rsidRDefault="00B009FD" w:rsidP="006427F2">
      <w:pPr>
        <w:pStyle w:val="BodyText"/>
      </w:pPr>
      <w:r>
        <w:t xml:space="preserve">The </w:t>
      </w:r>
      <w:r w:rsidR="00A72264">
        <w:t xml:space="preserve">returns computed from the quotation midpoint estimates tend to have more </w:t>
      </w:r>
      <w:r w:rsidR="009B6D1B">
        <w:t xml:space="preserve">negative </w:t>
      </w:r>
      <w:r w:rsidR="00A72264">
        <w:t>serial correlation than those computed f</w:t>
      </w:r>
      <w:r w:rsidR="00E55BA6">
        <w:t>r</w:t>
      </w:r>
      <w:r w:rsidR="00A72264">
        <w:t xml:space="preserve">om the unadjusted or adjusted value estimates.  This evidence suggests that the value estimates based on quotation </w:t>
      </w:r>
      <w:r w:rsidR="009B6D1B">
        <w:t>sizes are somewhat more informative</w:t>
      </w:r>
      <w:r>
        <w:t>, conditional on the assumption that true values are not serial correlated at these intervals</w:t>
      </w:r>
      <w:r w:rsidR="009B6D1B">
        <w:t xml:space="preserve">.  This result should not be surprising since </w:t>
      </w:r>
      <w:r>
        <w:t>quotation midpoints are discrete.  The rounding of continuous values to discrete points should introduce negative serial correlation as discussed in Harris (19</w:t>
      </w:r>
      <w:r w:rsidR="00DA3B0E">
        <w:t>90</w:t>
      </w:r>
      <w:r>
        <w:t xml:space="preserve">).  </w:t>
      </w:r>
    </w:p>
    <w:p w:rsidR="006427F2" w:rsidRPr="007E5F31" w:rsidRDefault="00B009FD" w:rsidP="006427F2">
      <w:pPr>
        <w:pStyle w:val="BodyText"/>
      </w:pPr>
      <w:r>
        <w:t xml:space="preserve">The serial correlations based on </w:t>
      </w:r>
      <w:r w:rsidR="00300712">
        <w:t xml:space="preserve">unadjusted value estimates are generally less negative than those based on the adjusted value estimates.  While this evidence may indicate that the unadjusted estimates are more accurate true value estimates, it also may reflect the fact that quotation sizes sometimes may be slow to adjust when quotes rise or fall.  In which case, the adjusted spread estimator will </w:t>
      </w:r>
      <w:r w:rsidR="00B44AE6">
        <w:t>bounce around until the size of the new quotes fill out.  For example, if an increase in val</w:t>
      </w:r>
      <w:r w:rsidR="005524ED">
        <w:t>ues causes the market quotation</w:t>
      </w:r>
      <w:r w:rsidR="00B44AE6">
        <w:t xml:space="preserve"> to rise, the adjusted true value estimate may rise past </w:t>
      </w:r>
      <w:proofErr w:type="gramStart"/>
      <w:r w:rsidR="00B44AE6">
        <w:t>the ask</w:t>
      </w:r>
      <w:proofErr w:type="gramEnd"/>
      <w:r w:rsidR="00B44AE6">
        <w:t xml:space="preserve"> before the quotes change. </w:t>
      </w:r>
      <w:r w:rsidR="007438FB">
        <w:t xml:space="preserve"> Immediately following a one-tick increase in quotes, </w:t>
      </w:r>
      <w:r w:rsidR="00E55BA6">
        <w:t xml:space="preserve">if the size on the new bid (the former ask) is small, </w:t>
      </w:r>
      <w:r w:rsidR="007438FB">
        <w:t xml:space="preserve">the new adjusted value estimate may be below the </w:t>
      </w:r>
      <w:r w:rsidR="00E55BA6">
        <w:t xml:space="preserve">form ask </w:t>
      </w:r>
      <w:r w:rsidR="007438FB">
        <w:t xml:space="preserve">so that it appears that values have bounced down.  The estimate then will </w:t>
      </w:r>
      <w:proofErr w:type="gramStart"/>
      <w:r w:rsidR="007438FB">
        <w:t>rise</w:t>
      </w:r>
      <w:proofErr w:type="gramEnd"/>
      <w:r w:rsidR="007438FB">
        <w:t xml:space="preserve"> as </w:t>
      </w:r>
      <w:r w:rsidR="00E55BA6">
        <w:t xml:space="preserve">traders post more </w:t>
      </w:r>
      <w:r w:rsidR="007438FB">
        <w:t xml:space="preserve">size at the new bid. </w:t>
      </w:r>
    </w:p>
    <w:p w:rsidR="007E1435" w:rsidRDefault="00991117" w:rsidP="008B2A23">
      <w:pPr>
        <w:pStyle w:val="Heading2"/>
      </w:pPr>
      <w:r>
        <w:t>T</w:t>
      </w:r>
      <w:r w:rsidR="007E1435">
        <w:t>rader</w:t>
      </w:r>
      <w:r w:rsidR="00AC7FDD">
        <w:t>s</w:t>
      </w:r>
      <w:r w:rsidR="007E1435">
        <w:t xml:space="preserve"> </w:t>
      </w:r>
      <w:r>
        <w:t>Pay Attention to the Quotation Sizes</w:t>
      </w:r>
    </w:p>
    <w:p w:rsidR="00AA76DA" w:rsidRDefault="00991117" w:rsidP="006427F2">
      <w:pPr>
        <w:pStyle w:val="BodyText"/>
      </w:pPr>
      <w:r>
        <w:t xml:space="preserve">Additional evidence that traders pay attention to quotation sizes appears in the relation between trades and estimated true values.  In particular, </w:t>
      </w:r>
      <w:r w:rsidR="00AA76DA">
        <w:t xml:space="preserve">when value is near </w:t>
      </w:r>
      <w:proofErr w:type="gramStart"/>
      <w:r w:rsidR="00AA76DA">
        <w:t>the ask</w:t>
      </w:r>
      <w:proofErr w:type="gramEnd"/>
      <w:r w:rsidR="00AA76DA">
        <w:t xml:space="preserve">, traders should be more likely to trade at the ask.  Conversely, when value is near the bid, traders should be more willing to trade at the bid.  </w:t>
      </w:r>
    </w:p>
    <w:p w:rsidR="00AA76DA" w:rsidRDefault="00AA76DA" w:rsidP="006427F2">
      <w:pPr>
        <w:pStyle w:val="BodyText"/>
      </w:pPr>
      <w:r>
        <w:t>To examine the relation between</w:t>
      </w:r>
      <w:r w:rsidR="00104D3F">
        <w:t xml:space="preserve"> trade prices and</w:t>
      </w:r>
      <w:r>
        <w:t xml:space="preserve"> quotations sizes</w:t>
      </w:r>
      <w:r w:rsidR="00104D3F">
        <w:t xml:space="preserve"> (</w:t>
      </w:r>
      <w:r>
        <w:t>as summarized by the value estimates</w:t>
      </w:r>
      <w:r w:rsidR="00104D3F">
        <w:t>)</w:t>
      </w:r>
      <w:r>
        <w:t xml:space="preserve">, I classified all trades </w:t>
      </w:r>
      <w:r w:rsidR="00001C67">
        <w:t xml:space="preserve">that took place in one-tick markets </w:t>
      </w:r>
      <w:r>
        <w:t xml:space="preserve">by their </w:t>
      </w:r>
      <w:r w:rsidR="00E81593">
        <w:t xml:space="preserve">price in relation to the bid and </w:t>
      </w:r>
      <w:r w:rsidR="00725735">
        <w:t xml:space="preserve">ask </w:t>
      </w:r>
      <w:r w:rsidR="00E81593">
        <w:t xml:space="preserve">that was standing at least one second before the trade took place.  In particular I computed the value of the continuous indicator variable </w:t>
      </w:r>
      <m:oMath>
        <m:r>
          <w:rPr>
            <w:rFonts w:ascii="Cambria Math" w:hAnsi="Cambria Math"/>
          </w:rPr>
          <m:t>Q</m:t>
        </m:r>
      </m:oMath>
      <w:r w:rsidR="00001C67">
        <w:t xml:space="preserve"> </w:t>
      </w:r>
      <w:r w:rsidR="00E81593">
        <w:t xml:space="preserve">where </w:t>
      </w:r>
    </w:p>
    <w:p w:rsidR="0082728A" w:rsidRPr="00FE3D4D" w:rsidRDefault="000132C3" w:rsidP="006427F2">
      <w:pPr>
        <w:pStyle w:val="BodyText"/>
      </w:pPr>
      <m:oMathPara>
        <m:oMath>
          <m:r>
            <w:rPr>
              <w:rFonts w:ascii="Cambria Math" w:hAnsi="Cambria Math"/>
            </w:rPr>
            <m:t>Q=2</m:t>
          </m:r>
          <m:f>
            <m:fPr>
              <m:ctrlPr>
                <w:rPr>
                  <w:rFonts w:ascii="Cambria Math" w:hAnsi="Cambria Math"/>
                  <w:i/>
                </w:rPr>
              </m:ctrlPr>
            </m:fPr>
            <m:num>
              <m:r>
                <w:rPr>
                  <w:rFonts w:ascii="Cambria Math" w:hAnsi="Cambria Math"/>
                </w:rPr>
                <m:t>TradePrice-Bid</m:t>
              </m:r>
            </m:num>
            <m:den>
              <m:r>
                <w:rPr>
                  <w:rFonts w:ascii="Cambria Math" w:hAnsi="Cambria Math"/>
                </w:rPr>
                <m:t>Ask-Bid</m:t>
              </m:r>
            </m:den>
          </m:f>
          <m:r>
            <w:rPr>
              <w:rFonts w:ascii="Cambria Math" w:hAnsi="Cambria Math"/>
            </w:rPr>
            <m:t>-1</m:t>
          </m:r>
        </m:oMath>
      </m:oMathPara>
    </w:p>
    <w:p w:rsidR="00FE3D4D" w:rsidRPr="00001C67" w:rsidRDefault="00001C67" w:rsidP="006427F2">
      <w:pPr>
        <w:pStyle w:val="BodyText"/>
      </w:pPr>
      <w:proofErr w:type="gramStart"/>
      <w:r>
        <w:t>takes</w:t>
      </w:r>
      <w:proofErr w:type="gramEnd"/>
      <w:r>
        <w:t xml:space="preserve"> the value of 1 if the trade took place at the ask and -1 if it took place at the bid. </w:t>
      </w:r>
    </w:p>
    <w:p w:rsidR="00163288" w:rsidRDefault="00001C67" w:rsidP="006427F2">
      <w:pPr>
        <w:pStyle w:val="BodyText"/>
      </w:pPr>
      <w:r>
        <w:t xml:space="preserve">I then </w:t>
      </w:r>
      <w:r w:rsidR="00DA2173">
        <w:t xml:space="preserve">classified these trades by location of the unadjusted value estimate within the bid-ask spread using </w:t>
      </w:r>
      <w:r w:rsidR="00163288">
        <w:t>10</w:t>
      </w:r>
      <w:r w:rsidR="00DA2173">
        <w:t xml:space="preserve"> discrete buckets. </w:t>
      </w:r>
      <w:r w:rsidR="00163288">
        <w:t xml:space="preserve"> For each stock, I then averaged the value of Q within each bucket, and then across stocks I averaged these stock means using average dollar volume weights.  </w:t>
      </w:r>
    </w:p>
    <w:p w:rsidR="009E597C" w:rsidRDefault="00163288" w:rsidP="006427F2">
      <w:pPr>
        <w:pStyle w:val="BodyText"/>
      </w:pPr>
      <w:r>
        <w:t xml:space="preserve">The results, plotted in Figure </w:t>
      </w:r>
      <w:r w:rsidR="00A80D01">
        <w:t>6</w:t>
      </w:r>
      <w:r>
        <w:t xml:space="preserve">, show a very strong upward sloping relation between quotation sizes, as summarized by the value estimates, and trade prices.  This evidence suggests that traders are aware of the values implied in </w:t>
      </w:r>
      <w:r w:rsidR="00062C90">
        <w:t xml:space="preserve">the quoted sizes when they arrange their trades.  </w:t>
      </w:r>
      <w:r w:rsidR="00FE30AC">
        <w:t xml:space="preserve">However, it also is </w:t>
      </w:r>
      <w:r w:rsidR="00111097">
        <w:t xml:space="preserve">consistent with </w:t>
      </w:r>
      <w:r w:rsidR="00FE30AC">
        <w:t xml:space="preserve">serial correlation in the order flow that could result when takers break up their trades or when takers herd on the same side of the market.  </w:t>
      </w:r>
      <w:r w:rsidR="004A27C8" w:rsidRPr="00B85214">
        <w:rPr>
          <w:vanish/>
        </w:rPr>
        <w:t>&lt;&lt;Add a panel for high priced stocks.&gt;&gt;</w:t>
      </w:r>
    </w:p>
    <w:p w:rsidR="00FE30AC" w:rsidRDefault="009E597C" w:rsidP="006427F2">
      <w:pPr>
        <w:pStyle w:val="BodyText"/>
      </w:pPr>
      <w:r>
        <w:t>T</w:t>
      </w:r>
      <w:r w:rsidR="00FE30AC">
        <w:t xml:space="preserve">he autocorrelation of </w:t>
      </w:r>
      <m:oMath>
        <m:r>
          <w:rPr>
            <w:rFonts w:ascii="Cambria Math" w:hAnsi="Cambria Math"/>
          </w:rPr>
          <m:t>Q</m:t>
        </m:r>
      </m:oMath>
      <w:r w:rsidR="00FE30AC">
        <w:t xml:space="preserve"> </w:t>
      </w:r>
      <w:r w:rsidR="00E80E70">
        <w:t xml:space="preserve">in all markets (not just one-tick markets) </w:t>
      </w:r>
      <w:r w:rsidR="00FE30AC">
        <w:t xml:space="preserve">is </w:t>
      </w:r>
      <w:r w:rsidR="001D364B">
        <w:t xml:space="preserve">approximately 0.4 at the first and second lags </w:t>
      </w:r>
      <w:r w:rsidR="00FE30AC">
        <w:t>in this sample of low priced stocks</w:t>
      </w:r>
      <w:r w:rsidR="00E80E70">
        <w:t xml:space="preserve"> (Figure </w:t>
      </w:r>
      <w:r w:rsidR="00657A84">
        <w:t>7</w:t>
      </w:r>
      <w:r w:rsidR="00E0704A" w:rsidRPr="00B85214">
        <w:rPr>
          <w:vanish/>
        </w:rPr>
        <w:t>, Panel A</w:t>
      </w:r>
      <w:r w:rsidR="00E80E70">
        <w:t>)</w:t>
      </w:r>
      <w:r w:rsidR="00FE30AC">
        <w:t xml:space="preserve">. </w:t>
      </w:r>
      <w:r>
        <w:t>This indicates that the order flow is serially correlated</w:t>
      </w:r>
      <w:r w:rsidR="001D364B">
        <w:t xml:space="preserve">.  However, note that </w:t>
      </w:r>
      <w:r>
        <w:t xml:space="preserve">the serial correlation could arise for the reasons described in the previous paragraph or simply because traders are reluctant to trade away from value.  </w:t>
      </w:r>
      <w:r w:rsidR="00E83FAF" w:rsidRPr="00B85214">
        <w:rPr>
          <w:vanish/>
        </w:rPr>
        <w:t>&lt;&lt;</w:t>
      </w:r>
      <w:r w:rsidRPr="00B85214">
        <w:rPr>
          <w:vanish/>
        </w:rPr>
        <w:t xml:space="preserve">Figure </w:t>
      </w:r>
      <w:r w:rsidR="00E0704A" w:rsidRPr="00B85214">
        <w:rPr>
          <w:vanish/>
        </w:rPr>
        <w:t xml:space="preserve">7, Panel B </w:t>
      </w:r>
      <w:r w:rsidRPr="00B85214">
        <w:rPr>
          <w:vanish/>
        </w:rPr>
        <w:t>plots the autocorrelation of Q for a sample of stocks trading between $50 and 55.  Although still correlated, the order flow is much less so</w:t>
      </w:r>
      <w:r w:rsidR="001D364B" w:rsidRPr="00B85214">
        <w:rPr>
          <w:vanish/>
        </w:rPr>
        <w:t>,</w:t>
      </w:r>
      <w:r w:rsidRPr="00B85214">
        <w:rPr>
          <w:vanish/>
        </w:rPr>
        <w:t xml:space="preserve"> which suggests that much of the </w:t>
      </w:r>
      <w:r w:rsidR="004C2C7A" w:rsidRPr="00B85214">
        <w:rPr>
          <w:vanish/>
        </w:rPr>
        <w:t xml:space="preserve">order flow </w:t>
      </w:r>
      <w:r w:rsidRPr="00B85214">
        <w:rPr>
          <w:vanish/>
        </w:rPr>
        <w:t xml:space="preserve">serial correlation in the low priced sample is due to traders who desire to trade near value rather than because the traders are herding </w:t>
      </w:r>
      <w:r w:rsidR="004C2C7A" w:rsidRPr="00B85214">
        <w:rPr>
          <w:vanish/>
        </w:rPr>
        <w:t>or breaking up their orders.</w:t>
      </w:r>
      <w:r w:rsidR="00E83FAF" w:rsidRPr="00B85214">
        <w:rPr>
          <w:vanish/>
        </w:rPr>
        <w:t>&gt;&gt;</w:t>
      </w:r>
    </w:p>
    <w:p w:rsidR="00A12B14" w:rsidRDefault="00657A84" w:rsidP="00A12B14">
      <w:pPr>
        <w:pStyle w:val="Heading2"/>
      </w:pPr>
      <w:proofErr w:type="spellStart"/>
      <w:r>
        <w:t>Univariate</w:t>
      </w:r>
      <w:proofErr w:type="spellEnd"/>
      <w:r>
        <w:t xml:space="preserve"> </w:t>
      </w:r>
      <w:r w:rsidR="00A12B14">
        <w:t>Distribution</w:t>
      </w:r>
      <w:r>
        <w:t>s</w:t>
      </w:r>
      <w:r w:rsidR="00A12B14">
        <w:t xml:space="preserve"> of </w:t>
      </w:r>
      <w:r w:rsidR="00652BD8">
        <w:t>Value Estimate Sub-pennies</w:t>
      </w:r>
    </w:p>
    <w:p w:rsidR="00B45310" w:rsidRDefault="005144A7" w:rsidP="001C54D0">
      <w:pPr>
        <w:pStyle w:val="BodyText"/>
      </w:pPr>
      <w:r>
        <w:t>Figure</w:t>
      </w:r>
      <w:r w:rsidR="00657A84">
        <w:t xml:space="preserve"> </w:t>
      </w:r>
      <w:r w:rsidR="00E0704A">
        <w:t>9</w:t>
      </w:r>
      <w:r w:rsidR="00391A68">
        <w:t xml:space="preserve">, Panel </w:t>
      </w:r>
      <w:proofErr w:type="gramStart"/>
      <w:r w:rsidR="00391A68">
        <w:t>A</w:t>
      </w:r>
      <w:proofErr w:type="gramEnd"/>
      <w:r>
        <w:t xml:space="preserve"> plot</w:t>
      </w:r>
      <w:r w:rsidR="00391A68">
        <w:t>s</w:t>
      </w:r>
      <w:r>
        <w:t xml:space="preserve"> the </w:t>
      </w:r>
      <w:r w:rsidR="00B45310">
        <w:t xml:space="preserve">histogram </w:t>
      </w:r>
      <w:r>
        <w:t xml:space="preserve">of </w:t>
      </w:r>
      <w:r w:rsidR="00A47CC0">
        <w:t xml:space="preserve">value </w:t>
      </w:r>
      <w:r>
        <w:t>sub-penn</w:t>
      </w:r>
      <w:r w:rsidR="00A47CC0">
        <w:t xml:space="preserve">ies </w:t>
      </w:r>
      <w:r>
        <w:t>for the unadjusted value estimates</w:t>
      </w:r>
      <w:r w:rsidR="00D049F9">
        <w:t xml:space="preserve"> obtained from markets with one-tick spreads.  </w:t>
      </w:r>
      <w:r w:rsidR="00B45310">
        <w:t xml:space="preserve">To provide the greatest resolution, these plots aggregate all data in the sample without weighting by standing time or average dollar trading volumes.  </w:t>
      </w:r>
      <w:r w:rsidR="00A47CC0">
        <w:t>(</w:t>
      </w:r>
      <w:r w:rsidR="00B45310">
        <w:t>Similar results are obtained by computing histograms for each stock and then averaging the results.</w:t>
      </w:r>
      <w:r w:rsidR="00A47CC0">
        <w:t>)</w:t>
      </w:r>
      <w:r w:rsidR="00B45310">
        <w:t xml:space="preserve"> </w:t>
      </w:r>
      <w:r w:rsidR="00253625">
        <w:t xml:space="preserve"> </w:t>
      </w:r>
      <w:r w:rsidR="00391A68">
        <w:t xml:space="preserve">Panel B </w:t>
      </w:r>
      <w:r w:rsidR="00253625">
        <w:t>plot</w:t>
      </w:r>
      <w:r w:rsidR="00391A68">
        <w:t xml:space="preserve">s presents </w:t>
      </w:r>
      <w:r w:rsidR="00253625">
        <w:t xml:space="preserve">probability-probability plots </w:t>
      </w:r>
      <w:r w:rsidR="00BD248B">
        <w:t>th</w:t>
      </w:r>
      <w:r w:rsidR="00A47CC0">
        <w:t xml:space="preserve">at </w:t>
      </w:r>
      <w:r w:rsidR="00BD248B">
        <w:t xml:space="preserve">plot </w:t>
      </w:r>
      <w:proofErr w:type="spellStart"/>
      <w:r w:rsidR="00BD248B">
        <w:t>cumulative</w:t>
      </w:r>
      <w:r w:rsidR="00A47CC0">
        <w:t>s</w:t>
      </w:r>
      <w:proofErr w:type="spellEnd"/>
      <w:r w:rsidR="00BD248B">
        <w:t xml:space="preserve"> of these distributions against the </w:t>
      </w:r>
      <w:proofErr w:type="spellStart"/>
      <w:r w:rsidR="00BD248B">
        <w:t>cumulative</w:t>
      </w:r>
      <w:r w:rsidR="00A47CC0">
        <w:t>s</w:t>
      </w:r>
      <w:proofErr w:type="spellEnd"/>
      <w:r w:rsidR="00BD248B">
        <w:t xml:space="preserve"> of the assumed uniform distribution. </w:t>
      </w:r>
    </w:p>
    <w:p w:rsidR="00391A68" w:rsidRDefault="00A108ED" w:rsidP="000701E3">
      <w:pPr>
        <w:pStyle w:val="BodyText"/>
      </w:pPr>
      <w:r>
        <w:t xml:space="preserve">As expected, the unadjusted </w:t>
      </w:r>
      <w:r w:rsidR="00A47CC0">
        <w:t xml:space="preserve">sub-penny </w:t>
      </w:r>
      <w:r>
        <w:t xml:space="preserve">distribution has more mass in the center than on its sides.  </w:t>
      </w:r>
      <w:r w:rsidR="00946BCE">
        <w:t xml:space="preserve">The </w:t>
      </w:r>
      <w:r w:rsidR="00A47CC0">
        <w:t xml:space="preserve">bows in the </w:t>
      </w:r>
      <w:r w:rsidR="00946BCE">
        <w:t xml:space="preserve">probability-probability plot for the unadjusted estimate sub-pennies clearly reveal their departure from the uniform distribution.  </w:t>
      </w:r>
    </w:p>
    <w:p w:rsidR="00475426" w:rsidRDefault="009E0D7A" w:rsidP="000701E3">
      <w:pPr>
        <w:pStyle w:val="BodyText"/>
      </w:pPr>
      <w:r>
        <w:t xml:space="preserve">Clearly apparent are the effects of </w:t>
      </w:r>
      <w:r w:rsidR="005713F8">
        <w:t>quotation size</w:t>
      </w:r>
      <w:r>
        <w:t xml:space="preserve"> clustering on </w:t>
      </w:r>
      <w:r w:rsidR="005713F8">
        <w:t>the value estimates.  The spike at 0.5</w:t>
      </w:r>
      <w:r w:rsidR="00431D2B">
        <w:rPr>
          <w:rFonts w:cstheme="minorHAnsi"/>
        </w:rPr>
        <w:t xml:space="preserve">¢ </w:t>
      </w:r>
      <w:r w:rsidR="005713F8">
        <w:t xml:space="preserve">is due to quotes for which bid size is equal to ask size, which occurs with some regularity for the less actively traded stocks.  (Table </w:t>
      </w:r>
      <w:r w:rsidR="006A5CC9">
        <w:t>1</w:t>
      </w:r>
      <w:r w:rsidR="005713F8">
        <w:t xml:space="preserve"> presents the cross-sectional distribution of the fraction of time that the bid size is equal to ask size.)  The next two largest spike</w:t>
      </w:r>
      <w:r>
        <w:t>s</w:t>
      </w:r>
      <w:r w:rsidR="005713F8">
        <w:t xml:space="preserve"> </w:t>
      </w:r>
      <w:r>
        <w:t>at 0.333</w:t>
      </w:r>
      <w:r w:rsidR="00431D2B">
        <w:rPr>
          <w:rFonts w:cstheme="minorHAnsi"/>
        </w:rPr>
        <w:t xml:space="preserve">¢ </w:t>
      </w:r>
      <w:r>
        <w:t>and 0.667</w:t>
      </w:r>
      <w:r w:rsidR="00431D2B">
        <w:rPr>
          <w:rFonts w:cstheme="minorHAnsi"/>
        </w:rPr>
        <w:t xml:space="preserve">¢ (in the unadjusted value histogram) </w:t>
      </w:r>
      <w:r>
        <w:t xml:space="preserve">represent quotes for which one size is twice the other size. </w:t>
      </w:r>
      <w:r w:rsidR="00253625">
        <w:t xml:space="preserve"> </w:t>
      </w:r>
      <w:r w:rsidR="00652537">
        <w:t>The clustering of quotation sizes is similar to the price clustering documented by Harris (19</w:t>
      </w:r>
      <w:r w:rsidR="00DA3B0E">
        <w:t>91</w:t>
      </w:r>
      <w:r w:rsidR="00652537">
        <w:t>) and others</w:t>
      </w:r>
      <w:r w:rsidR="003232AD">
        <w:t xml:space="preserve">, and it is </w:t>
      </w:r>
      <w:r w:rsidR="00652537">
        <w:t xml:space="preserve">likely </w:t>
      </w:r>
      <w:r w:rsidR="003232AD">
        <w:t xml:space="preserve">due to the </w:t>
      </w:r>
      <w:r w:rsidR="007F5F66">
        <w:t>similar</w:t>
      </w:r>
      <w:r w:rsidR="003232AD">
        <w:t xml:space="preserve"> issues.</w:t>
      </w:r>
      <w:r w:rsidR="00652537">
        <w:t xml:space="preserve"> </w:t>
      </w:r>
    </w:p>
    <w:p w:rsidR="00475426" w:rsidRDefault="00475426" w:rsidP="000701E3">
      <w:pPr>
        <w:pStyle w:val="BodyText"/>
      </w:pPr>
      <w:r>
        <w:t xml:space="preserve">Most of the larger </w:t>
      </w:r>
      <w:r w:rsidR="00652537">
        <w:t xml:space="preserve">frequency </w:t>
      </w:r>
      <w:r>
        <w:t xml:space="preserve">spikes are associated with adjacent deficits so that if the distribution were smoothed by a narrow filter, it would be quite smooth.  This result </w:t>
      </w:r>
      <w:r w:rsidR="00436233">
        <w:t xml:space="preserve">is consistent with traders quoting prices and sizes that reflect their views on value. </w:t>
      </w:r>
      <w:r w:rsidR="00652537">
        <w:t xml:space="preserve"> The mass in the deficit regions is simply displaced to the adjacent spiked regions</w:t>
      </w:r>
      <w:r w:rsidR="00391A68">
        <w:t xml:space="preserve"> as the traders round to discrete sizes</w:t>
      </w:r>
      <w:r w:rsidR="00652537">
        <w:t xml:space="preserve">. </w:t>
      </w:r>
    </w:p>
    <w:p w:rsidR="00351A0C" w:rsidRDefault="000377FC" w:rsidP="001C54D0">
      <w:pPr>
        <w:pStyle w:val="BodyText"/>
      </w:pPr>
      <w:r>
        <w:t xml:space="preserve">The theory presented in section </w:t>
      </w:r>
      <w:r w:rsidR="00EE19BB">
        <w:fldChar w:fldCharType="begin"/>
      </w:r>
      <w:r w:rsidR="00EE19BB">
        <w:instrText xml:space="preserve"> REF _Ref365171041 \r \h </w:instrText>
      </w:r>
      <w:r w:rsidR="00EE19BB">
        <w:fldChar w:fldCharType="separate"/>
      </w:r>
      <w:r w:rsidR="00C67A10">
        <w:t>3.5.1</w:t>
      </w:r>
      <w:r w:rsidR="00EE19BB">
        <w:fldChar w:fldCharType="end"/>
      </w:r>
      <w:r>
        <w:t xml:space="preserve"> above</w:t>
      </w:r>
      <w:r w:rsidR="00EE19BB">
        <w:t xml:space="preserve"> predicts that the </w:t>
      </w:r>
      <w:r w:rsidR="000701E3">
        <w:t xml:space="preserve">unadjusted value sub-penny </w:t>
      </w:r>
      <w:r w:rsidR="00EE19BB">
        <w:t xml:space="preserve">distribution within the range </w:t>
      </w:r>
      <m:oMath>
        <m:d>
          <m:dPr>
            <m:begChr m:val="["/>
            <m:endChr m:val="]"/>
            <m:ctrlPr>
              <w:rPr>
                <w:rFonts w:ascii="Cambria Math" w:hAnsi="Cambria Math"/>
                <w:i/>
              </w:rPr>
            </m:ctrlPr>
          </m:dPr>
          <m:e>
            <m:r>
              <w:rPr>
                <w:rFonts w:ascii="Cambria Math" w:hAnsi="Cambria Math"/>
              </w:rPr>
              <m:t>M-</m:t>
            </m:r>
            <m:f>
              <m:fPr>
                <m:ctrlPr>
                  <w:rPr>
                    <w:rFonts w:ascii="Cambria Math" w:hAnsi="Cambria Math"/>
                    <w:i/>
                  </w:rPr>
                </m:ctrlPr>
              </m:fPr>
              <m:num>
                <m:r>
                  <w:rPr>
                    <w:rFonts w:ascii="Cambria Math" w:hAnsi="Cambria Math"/>
                  </w:rPr>
                  <m:t>0.5-c</m:t>
                </m:r>
              </m:num>
              <m:den>
                <m:r>
                  <w:rPr>
                    <w:rFonts w:ascii="Cambria Math" w:hAnsi="Cambria Math"/>
                  </w:rPr>
                  <m:t>1+2c</m:t>
                </m:r>
              </m:den>
            </m:f>
            <m:r>
              <w:rPr>
                <w:rFonts w:ascii="Cambria Math" w:hAnsi="Cambria Math"/>
              </w:rPr>
              <m:t>,M+</m:t>
            </m:r>
            <m:f>
              <m:fPr>
                <m:ctrlPr>
                  <w:rPr>
                    <w:rFonts w:ascii="Cambria Math" w:hAnsi="Cambria Math"/>
                    <w:i/>
                  </w:rPr>
                </m:ctrlPr>
              </m:fPr>
              <m:num>
                <m:r>
                  <w:rPr>
                    <w:rFonts w:ascii="Cambria Math" w:hAnsi="Cambria Math"/>
                  </w:rPr>
                  <m:t>0.5-c</m:t>
                </m:r>
              </m:num>
              <m:den>
                <m:r>
                  <w:rPr>
                    <w:rFonts w:ascii="Cambria Math" w:hAnsi="Cambria Math"/>
                  </w:rPr>
                  <m:t>1+2c</m:t>
                </m:r>
              </m:den>
            </m:f>
          </m:e>
        </m:d>
      </m:oMath>
      <w:r w:rsidR="000701E3" w:rsidRPr="000701E3">
        <w:t xml:space="preserve"> </w:t>
      </w:r>
      <w:r w:rsidR="000701E3">
        <w:t xml:space="preserve">should be uniform with total mass </w:t>
      </w:r>
      <w:proofErr w:type="gramStart"/>
      <w:r w:rsidR="000701E3">
        <w:t xml:space="preserve">of </w:t>
      </w:r>
      <w:proofErr w:type="gramEnd"/>
      <m:oMath>
        <m:r>
          <w:rPr>
            <w:rFonts w:ascii="Cambria Math" w:hAnsi="Cambria Math"/>
          </w:rPr>
          <m:t>2</m:t>
        </m:r>
        <m:d>
          <m:dPr>
            <m:ctrlPr>
              <w:rPr>
                <w:rFonts w:ascii="Cambria Math" w:hAnsi="Cambria Math"/>
                <w:i/>
              </w:rPr>
            </m:ctrlPr>
          </m:dPr>
          <m:e>
            <m:r>
              <w:rPr>
                <w:rFonts w:ascii="Cambria Math" w:hAnsi="Cambria Math"/>
              </w:rPr>
              <m:t>M-c</m:t>
            </m:r>
          </m:e>
        </m:d>
      </m:oMath>
      <w:r w:rsidR="00E450CA">
        <w:t xml:space="preserve">.  </w:t>
      </w:r>
      <w:proofErr w:type="gramStart"/>
      <w:r w:rsidR="00E450CA">
        <w:t xml:space="preserve">For </w:t>
      </w:r>
      <w:proofErr w:type="gramEnd"/>
      <m:oMath>
        <m:r>
          <w:rPr>
            <w:rFonts w:ascii="Cambria Math" w:hAnsi="Cambria Math"/>
          </w:rPr>
          <m:t>c=0.275¢</m:t>
        </m:r>
      </m:oMath>
      <w:r w:rsidR="00E450CA">
        <w:t xml:space="preserve">, this range and mass </w:t>
      </w:r>
      <w:r w:rsidR="00351A0C">
        <w:t xml:space="preserve">evaluate to </w:t>
      </w:r>
      <w:r w:rsidR="00E450CA">
        <w:t xml:space="preserve">approximately </w:t>
      </w:r>
      <m:oMath>
        <m:d>
          <m:dPr>
            <m:begChr m:val="["/>
            <m:endChr m:val="]"/>
            <m:ctrlPr>
              <w:rPr>
                <w:rFonts w:ascii="Cambria Math" w:hAnsi="Cambria Math"/>
                <w:i/>
              </w:rPr>
            </m:ctrlPr>
          </m:dPr>
          <m:e>
            <m:r>
              <w:rPr>
                <w:rFonts w:ascii="Cambria Math" w:hAnsi="Cambria Math"/>
              </w:rPr>
              <m:t>0.355¢, 0.645¢</m:t>
            </m:r>
          </m:e>
        </m:d>
      </m:oMath>
      <w:r w:rsidR="00E450CA">
        <w:t xml:space="preserve"> and</w:t>
      </w:r>
      <w:r w:rsidR="00F77680">
        <w:t xml:space="preserve"> </w:t>
      </w:r>
      <m:oMath>
        <m:r>
          <w:rPr>
            <w:rFonts w:ascii="Cambria Math" w:hAnsi="Cambria Math"/>
          </w:rPr>
          <m:t>0.450</m:t>
        </m:r>
      </m:oMath>
      <w:r w:rsidR="00E450CA">
        <w:t>, respectively.  The sample mass in this range is 0.43</w:t>
      </w:r>
      <w:r w:rsidR="00F77680">
        <w:t xml:space="preserve">9, when computed as the dollar volume weighted average of the sample masses within this region for the various stocks.  The </w:t>
      </w:r>
      <w:r w:rsidR="00A42E9E">
        <w:t xml:space="preserve">corresponding weighted </w:t>
      </w:r>
      <w:r w:rsidR="00F77680">
        <w:t xml:space="preserve">cross-sectional </w:t>
      </w:r>
      <w:r w:rsidR="00F77680" w:rsidRPr="00F77680">
        <w:rPr>
          <w:i/>
        </w:rPr>
        <w:t>t</w:t>
      </w:r>
      <w:r w:rsidR="00F77680">
        <w:t>-</w:t>
      </w:r>
      <w:r w:rsidR="00450311">
        <w:t xml:space="preserve">value </w:t>
      </w:r>
      <w:r w:rsidR="00F77680">
        <w:t xml:space="preserve">for the test of whether the mean of the stock sample masses is different from the expected value of </w:t>
      </w:r>
      <m:oMath>
        <m:r>
          <w:rPr>
            <w:rFonts w:ascii="Cambria Math" w:hAnsi="Cambria Math"/>
          </w:rPr>
          <m:t>0.450</m:t>
        </m:r>
      </m:oMath>
      <w:r w:rsidR="00186F22">
        <w:t xml:space="preserve"> is </w:t>
      </w:r>
      <w:r w:rsidR="00351A0C">
        <w:t>-</w:t>
      </w:r>
      <w:r w:rsidR="00186F22">
        <w:t xml:space="preserve">1.14 with a </w:t>
      </w:r>
      <w:r w:rsidR="0067562F">
        <w:t xml:space="preserve">two-sided </w:t>
      </w:r>
      <w:r w:rsidR="00186F22">
        <w:rPr>
          <w:i/>
        </w:rPr>
        <w:t>p</w:t>
      </w:r>
      <w:r w:rsidR="00186F22">
        <w:t>-value of 0.</w:t>
      </w:r>
      <w:r w:rsidR="00D82433">
        <w:t>259</w:t>
      </w:r>
      <w:r w:rsidR="00186F22">
        <w:t>, so the hypothesis cannot be rejected at normal confidence levels.</w:t>
      </w:r>
      <w:r w:rsidR="005D55D3">
        <w:rPr>
          <w:rStyle w:val="FootnoteReference"/>
        </w:rPr>
        <w:footnoteReference w:id="18"/>
      </w:r>
      <w:r w:rsidR="00186F22">
        <w:t xml:space="preserve">  </w:t>
      </w:r>
    </w:p>
    <w:p w:rsidR="00436233" w:rsidRDefault="005258B8" w:rsidP="001C54D0">
      <w:pPr>
        <w:pStyle w:val="BodyText"/>
      </w:pPr>
      <w:r>
        <w:t xml:space="preserve">A histogram and probability-probability plot of the unadjusted value </w:t>
      </w:r>
      <w:r w:rsidR="00E40748">
        <w:t xml:space="preserve">estimate </w:t>
      </w:r>
      <w:r>
        <w:t xml:space="preserve">sub-pennies within this range appears in Figure </w:t>
      </w:r>
      <w:r w:rsidR="00E0704A">
        <w:t>10</w:t>
      </w:r>
      <w:r w:rsidR="00391A68">
        <w:t>, Panels A and B</w:t>
      </w:r>
      <w:r>
        <w:t xml:space="preserve">. </w:t>
      </w:r>
      <w:r w:rsidR="00475426">
        <w:t xml:space="preserve"> Except for the clustering, which appears more pronounced in this conditional distribution, the distribution appears approximately </w:t>
      </w:r>
      <w:r w:rsidR="0085744F">
        <w:t xml:space="preserve">uniform, which is consistent with the theory.  </w:t>
      </w:r>
      <w:r w:rsidR="00436233">
        <w:t>T</w:t>
      </w:r>
      <w:r w:rsidR="00475426">
        <w:t xml:space="preserve">he </w:t>
      </w:r>
      <w:r w:rsidR="00436233">
        <w:t xml:space="preserve">probability-probability plot shows that the distribution drops slightly </w:t>
      </w:r>
      <w:r w:rsidR="0085744F">
        <w:t xml:space="preserve">in its tails </w:t>
      </w:r>
      <w:r w:rsidR="00436233">
        <w:t xml:space="preserve">relative to the density of the assumed uniform distribution.  (The data plot below the </w:t>
      </w:r>
      <w:r w:rsidR="002D6EBC">
        <w:t xml:space="preserve">theoretical </w:t>
      </w:r>
      <w:r w:rsidR="00436233">
        <w:t xml:space="preserve">uniform </w:t>
      </w:r>
      <w:r w:rsidR="002D6EBC">
        <w:t xml:space="preserve">line </w:t>
      </w:r>
      <w:r w:rsidR="00436233">
        <w:t>below 0.5</w:t>
      </w:r>
      <w:r w:rsidR="002D6EBC">
        <w:rPr>
          <w:rFonts w:cstheme="minorHAnsi"/>
        </w:rPr>
        <w:t>¢</w:t>
      </w:r>
      <w:r w:rsidR="00436233">
        <w:t xml:space="preserve"> and above </w:t>
      </w:r>
      <w:r w:rsidR="002D6EBC">
        <w:t>the line above 0.5</w:t>
      </w:r>
      <w:r w:rsidR="002D6EBC">
        <w:rPr>
          <w:rFonts w:cstheme="minorHAnsi"/>
        </w:rPr>
        <w:t>¢</w:t>
      </w:r>
      <w:r w:rsidR="002D6EBC">
        <w:t xml:space="preserve">.)  </w:t>
      </w:r>
      <w:r w:rsidR="0085744F">
        <w:t xml:space="preserve">These results thus may also reflect the fact that many hills are flat on top.  </w:t>
      </w:r>
    </w:p>
    <w:p w:rsidR="00E40748" w:rsidRDefault="00391A68" w:rsidP="001C54D0">
      <w:pPr>
        <w:pStyle w:val="BodyText"/>
      </w:pPr>
      <w:r>
        <w:t>As expected, the distribution of the adjusted value estimate sub-pennies is much more uniform</w:t>
      </w:r>
      <w:r w:rsidR="004B5846">
        <w:t xml:space="preserve">, though it still shows the effects of size clustering </w:t>
      </w:r>
      <w:r>
        <w:t xml:space="preserve">(Figure </w:t>
      </w:r>
      <w:r w:rsidR="00E0704A">
        <w:t>11</w:t>
      </w:r>
      <w:r>
        <w:t>, Panels A and B).</w:t>
      </w:r>
      <w:r w:rsidR="004B5846" w:rsidRPr="004B5846">
        <w:rPr>
          <w:rStyle w:val="FootnoteReference"/>
        </w:rPr>
        <w:t xml:space="preserve"> </w:t>
      </w:r>
      <w:r w:rsidR="004B5846">
        <w:rPr>
          <w:rStyle w:val="FootnoteReference"/>
        </w:rPr>
        <w:footnoteReference w:id="19"/>
      </w:r>
      <w:r w:rsidR="004B5846" w:rsidRPr="00391A68">
        <w:t xml:space="preserve"> </w:t>
      </w:r>
      <w:r w:rsidR="004B5846">
        <w:t xml:space="preserve"> </w:t>
      </w:r>
      <w:r>
        <w:t xml:space="preserve">The adjusted sub-pennies depart only slightly from the theoretical </w:t>
      </w:r>
      <w:r w:rsidR="00E40748">
        <w:t xml:space="preserve">uniform distribution </w:t>
      </w:r>
      <w:r>
        <w:t xml:space="preserve">line in </w:t>
      </w:r>
      <w:r w:rsidR="004B5846">
        <w:t xml:space="preserve">the histogram and in the probability-probability </w:t>
      </w:r>
      <w:r>
        <w:t xml:space="preserve">plot. </w:t>
      </w:r>
    </w:p>
    <w:p w:rsidR="004B5846" w:rsidRPr="00B85214" w:rsidRDefault="004B5846" w:rsidP="001C54D0">
      <w:pPr>
        <w:pStyle w:val="BodyText"/>
        <w:rPr>
          <w:vanish/>
        </w:rPr>
      </w:pPr>
      <w:r w:rsidRPr="00B85214">
        <w:rPr>
          <w:vanish/>
        </w:rPr>
        <w:t>&lt;&lt;Show that not any beta distribution can produce these results.&gt;&gt;</w:t>
      </w:r>
    </w:p>
    <w:p w:rsidR="00A12B14" w:rsidRDefault="00A12B14" w:rsidP="00A12B14">
      <w:pPr>
        <w:pStyle w:val="Heading2"/>
      </w:pPr>
      <w:proofErr w:type="gramStart"/>
      <w:r>
        <w:t>Bivariate Distribution</w:t>
      </w:r>
      <w:r w:rsidR="00652BD8">
        <w:t>s</w:t>
      </w:r>
      <w:r>
        <w:t xml:space="preserve"> </w:t>
      </w:r>
      <w:r w:rsidR="00652BD8">
        <w:t>of Value Estimate Sub-pennies.</w:t>
      </w:r>
      <w:proofErr w:type="gramEnd"/>
    </w:p>
    <w:p w:rsidR="00BF1746" w:rsidRDefault="004C18FA" w:rsidP="006427F2">
      <w:pPr>
        <w:pStyle w:val="BodyText"/>
      </w:pPr>
      <w:r>
        <w:t xml:space="preserve">Figure </w:t>
      </w:r>
      <w:r w:rsidR="00E0704A">
        <w:t>12</w:t>
      </w:r>
      <w:r w:rsidR="006075F2">
        <w:t>, Panel A</w:t>
      </w:r>
      <w:r>
        <w:t xml:space="preserve"> plot</w:t>
      </w:r>
      <w:r w:rsidR="006075F2">
        <w:t>s</w:t>
      </w:r>
      <w:r>
        <w:t xml:space="preserve"> </w:t>
      </w:r>
      <w:r w:rsidR="006075F2">
        <w:t xml:space="preserve">the </w:t>
      </w:r>
      <w:r w:rsidR="000058EC">
        <w:t xml:space="preserve">contour </w:t>
      </w:r>
      <w:r>
        <w:t xml:space="preserve">map of the histogram of value sub-pennies and lagged value sub-pennies for the </w:t>
      </w:r>
      <w:r w:rsidR="000058EC">
        <w:t xml:space="preserve">unadjusted </w:t>
      </w:r>
      <w:r w:rsidR="006075F2">
        <w:t xml:space="preserve">value </w:t>
      </w:r>
      <w:r>
        <w:t>estimates obtained from markets with one-tick spreads</w:t>
      </w:r>
      <w:r w:rsidR="00BF1746">
        <w:t xml:space="preserve"> and for which the market had not changed by more than one tick since the previous quote</w:t>
      </w:r>
      <w:r>
        <w:t>.</w:t>
      </w:r>
      <w:r w:rsidR="00053A9C">
        <w:rPr>
          <w:rStyle w:val="FootnoteReference"/>
        </w:rPr>
        <w:footnoteReference w:id="20"/>
      </w:r>
      <w:r>
        <w:t xml:space="preserve">  </w:t>
      </w:r>
      <w:r w:rsidR="00BF1746">
        <w:t>These filters focus attention on characteristics of these dist</w:t>
      </w:r>
      <w:r w:rsidR="00E466C6">
        <w:t>ributions that maker-taker pricing</w:t>
      </w:r>
      <w:r w:rsidR="00BF1746">
        <w:t xml:space="preserve"> is most likely to affect. </w:t>
      </w:r>
    </w:p>
    <w:p w:rsidR="006075F2" w:rsidRDefault="000058EC" w:rsidP="006427F2">
      <w:pPr>
        <w:pStyle w:val="BodyText"/>
      </w:pPr>
      <w:r>
        <w:t xml:space="preserve">As expected, </w:t>
      </w:r>
      <w:r w:rsidR="0078758A">
        <w:t xml:space="preserve">an oval along the diagonal to which broad bulges appear on either side dominates the </w:t>
      </w:r>
      <w:r>
        <w:t>contour map for the sub-pennies of the unadjusted estimates</w:t>
      </w:r>
      <w:r w:rsidR="0078758A">
        <w:t xml:space="preserve">.  </w:t>
      </w:r>
      <w:r w:rsidR="000A1F04">
        <w:t xml:space="preserve">The </w:t>
      </w:r>
      <w:r w:rsidR="006075F2">
        <w:t xml:space="preserve">lower and upper </w:t>
      </w:r>
      <w:r w:rsidR="000A1F04">
        <w:t xml:space="preserve">bulges are </w:t>
      </w:r>
      <w:r w:rsidR="006075F2">
        <w:t xml:space="preserve">respectively </w:t>
      </w:r>
      <w:r w:rsidR="000A1F04">
        <w:t>due to quote</w:t>
      </w:r>
      <w:r w:rsidR="00E67C5A">
        <w:t xml:space="preserve"> </w:t>
      </w:r>
      <w:r w:rsidR="006075F2">
        <w:t xml:space="preserve">increases and decreases </w:t>
      </w:r>
      <w:r w:rsidR="00E67C5A">
        <w:t xml:space="preserve">which occurred </w:t>
      </w:r>
      <w:r w:rsidR="006075F2">
        <w:t xml:space="preserve">for </w:t>
      </w:r>
      <w:r w:rsidR="00E67C5A">
        <w:t>approximately 1% of the plotted estimate pairs</w:t>
      </w:r>
      <w:r w:rsidR="000A1F04">
        <w:t xml:space="preserve">.  </w:t>
      </w:r>
      <w:r w:rsidR="00B20543">
        <w:t xml:space="preserve">The origins of these bulges appear clearly in a contour plot </w:t>
      </w:r>
      <w:r w:rsidR="007041D2">
        <w:t xml:space="preserve">in which the horizontal axis plots the sub-penny from which the value changed and the vertical axis plots the current value estimate expressed </w:t>
      </w:r>
      <w:r w:rsidR="00B20543">
        <w:t>relative to the integer of its lagged value</w:t>
      </w:r>
      <w:r w:rsidR="006075F2">
        <w:t xml:space="preserve"> (Figure </w:t>
      </w:r>
      <w:r w:rsidR="00E0704A">
        <w:t>12</w:t>
      </w:r>
      <w:r w:rsidR="006075F2">
        <w:t xml:space="preserve"> Panel B)</w:t>
      </w:r>
      <w:r w:rsidR="007041D2">
        <w:t xml:space="preserve">.  </w:t>
      </w:r>
    </w:p>
    <w:p w:rsidR="00686574" w:rsidRDefault="00686574" w:rsidP="006427F2">
      <w:pPr>
        <w:pStyle w:val="BodyText"/>
      </w:pPr>
      <w:r>
        <w:t xml:space="preserve">The distinguishing effect of maker-taker pricing on quotations lies in the location of the bulges.  The theory predicts that the </w:t>
      </w:r>
      <w:r w:rsidR="00983F43">
        <w:t xml:space="preserve">right bulge will be skewed upwards as adjusted values </w:t>
      </w:r>
      <w:r>
        <w:t xml:space="preserve">jump </w:t>
      </w:r>
      <w:r w:rsidR="00983F43">
        <w:t xml:space="preserve">beyond the former ask while the left bulge will be skewed downwards as adjusted values jump below the former bid.  If no jumps occurred, the contour plot would be symmetric. </w:t>
      </w:r>
    </w:p>
    <w:p w:rsidR="000A6C2E" w:rsidRDefault="00983F43" w:rsidP="006427F2">
      <w:pPr>
        <w:pStyle w:val="BodyText"/>
      </w:pPr>
      <w:r>
        <w:t xml:space="preserve">To test for these jumps, </w:t>
      </w:r>
      <w:r w:rsidR="00812081">
        <w:t xml:space="preserve">I classified the pairs </w:t>
      </w:r>
      <w:r w:rsidR="0002141C">
        <w:t xml:space="preserve">into 16 regions </w:t>
      </w:r>
      <w:r w:rsidR="00812081">
        <w:t xml:space="preserve">using the 4x4 grid illustrated in Figure </w:t>
      </w:r>
      <w:r w:rsidR="002A26EC">
        <w:t>5</w:t>
      </w:r>
      <w:r w:rsidR="00812081">
        <w:t xml:space="preserve">.  I then compared to total frequencies in the </w:t>
      </w:r>
      <w:r w:rsidR="0002141C">
        <w:t xml:space="preserve">regions </w:t>
      </w:r>
      <w:r w:rsidR="00812081">
        <w:t xml:space="preserve">market “T” (for test) to those in “C” (for control).  </w:t>
      </w:r>
      <w:r w:rsidR="000A6C2E">
        <w:t xml:space="preserve">The test regions </w:t>
      </w:r>
      <w:r w:rsidR="003B23FB">
        <w:t xml:space="preserve">are those regions from which quote changes are most likely and to which value will most likely land if the quote changes.  The control regions are regions that would have the same densities as the test regions if the overall distribution were symmetric.  </w:t>
      </w:r>
      <w:r w:rsidR="002C3A31">
        <w:t xml:space="preserve">Note that the average distance to travel from a lagged value to a current value in a given region is the same in the test regions as it is in the control regions. </w:t>
      </w:r>
    </w:p>
    <w:p w:rsidR="00983F43" w:rsidRDefault="00812081" w:rsidP="006427F2">
      <w:pPr>
        <w:pStyle w:val="BodyText"/>
      </w:pPr>
      <w:r>
        <w:t xml:space="preserve">The expected total frequencies will be the same if the contour plot is symmetric.  If </w:t>
      </w:r>
      <w:r w:rsidR="00AA5584">
        <w:t xml:space="preserve">maker-taker pricing effects cause </w:t>
      </w:r>
      <w:r>
        <w:t>adjusted values</w:t>
      </w:r>
      <w:r w:rsidR="000A6C2E">
        <w:t xml:space="preserve"> to </w:t>
      </w:r>
      <w:r>
        <w:t xml:space="preserve">jump </w:t>
      </w:r>
      <w:r w:rsidR="00AA5584">
        <w:t xml:space="preserve">up when quotes rise and </w:t>
      </w:r>
      <w:r w:rsidR="000A6C2E">
        <w:t xml:space="preserve">to </w:t>
      </w:r>
      <w:r w:rsidR="00AA5584">
        <w:t xml:space="preserve">jump down when quotes drop, the total number of observations in the test regions will be greater than in the control regions. </w:t>
      </w:r>
    </w:p>
    <w:p w:rsidR="00AA5584" w:rsidRPr="00450311" w:rsidRDefault="00AA5584" w:rsidP="006427F2">
      <w:pPr>
        <w:pStyle w:val="BodyText"/>
      </w:pPr>
      <w:r>
        <w:t xml:space="preserve">The </w:t>
      </w:r>
      <w:r w:rsidR="00450311">
        <w:t xml:space="preserve">cross-sectional weighted average frequencies in the test and control regions are respectively 0.889% and 0.768%.  The cross-sectional paired </w:t>
      </w:r>
      <w:r w:rsidR="00450311" w:rsidRPr="00450311">
        <w:rPr>
          <w:i/>
        </w:rPr>
        <w:t>t</w:t>
      </w:r>
      <w:r w:rsidR="00450311">
        <w:t xml:space="preserve">-value for the difference is 8.10, which implies that the difference is statistically significant. </w:t>
      </w:r>
      <w:r w:rsidR="00F62799">
        <w:t xml:space="preserve"> The bivariate distribution sub</w:t>
      </w:r>
      <w:r w:rsidR="000768FC">
        <w:t>-</w:t>
      </w:r>
      <w:r w:rsidR="00F62799">
        <w:t xml:space="preserve">penny distribution is asymmetric as expected. </w:t>
      </w:r>
    </w:p>
    <w:p w:rsidR="000A1F04" w:rsidRDefault="00686574" w:rsidP="006427F2">
      <w:pPr>
        <w:pStyle w:val="BodyText"/>
      </w:pPr>
      <w:r>
        <w:t xml:space="preserve">In contrast, the plot for the adjusted data consists primarily of parallel lines on either side of </w:t>
      </w:r>
      <w:r w:rsidR="00F36B18">
        <w:t xml:space="preserve">the primary </w:t>
      </w:r>
      <w:r>
        <w:t xml:space="preserve">diagonal.  </w:t>
      </w:r>
      <w:r w:rsidR="00177118">
        <w:t xml:space="preserve">The </w:t>
      </w:r>
      <w:r w:rsidR="00177118">
        <w:rPr>
          <w:i/>
        </w:rPr>
        <w:t>t</w:t>
      </w:r>
      <w:r w:rsidR="00177118">
        <w:t xml:space="preserve">-value of the test for asymmetry </w:t>
      </w:r>
      <w:r w:rsidR="00F62799">
        <w:t xml:space="preserve">has dropped to 3.82.  Although still statistically significant, its lower value suggests that </w:t>
      </w:r>
      <w:r w:rsidR="00D73CE5">
        <w:t xml:space="preserve">the </w:t>
      </w:r>
      <w:r w:rsidR="00F62799">
        <w:t xml:space="preserve">adjustment has indeed reduced the effects of maker-taker pricing.  </w:t>
      </w:r>
    </w:p>
    <w:p w:rsidR="00EC4DE2" w:rsidRPr="00B85214" w:rsidRDefault="002A26EC" w:rsidP="00F444BB">
      <w:pPr>
        <w:pStyle w:val="Heading4"/>
        <w:rPr>
          <w:vanish/>
        </w:rPr>
      </w:pPr>
      <w:r w:rsidRPr="00B85214">
        <w:rPr>
          <w:vanish/>
        </w:rPr>
        <w:t>&lt;&lt;</w:t>
      </w:r>
      <w:r w:rsidR="00EC4DE2" w:rsidRPr="00B85214">
        <w:rPr>
          <w:vanish/>
        </w:rPr>
        <w:t>Speed of adjustment asymmetry analysis.</w:t>
      </w:r>
      <w:r w:rsidRPr="00B85214">
        <w:rPr>
          <w:vanish/>
        </w:rPr>
        <w:t xml:space="preserve">  Event study&gt;&gt;</w:t>
      </w:r>
    </w:p>
    <w:p w:rsidR="006427F2" w:rsidRPr="00B85214" w:rsidRDefault="006427F2" w:rsidP="006427F2">
      <w:pPr>
        <w:pStyle w:val="BodyText"/>
        <w:rPr>
          <w:vanish/>
        </w:rPr>
      </w:pPr>
    </w:p>
    <w:p w:rsidR="003F72B3" w:rsidRPr="00B85214" w:rsidRDefault="002A26EC" w:rsidP="00F444BB">
      <w:pPr>
        <w:pStyle w:val="Heading3"/>
        <w:rPr>
          <w:vanish/>
        </w:rPr>
      </w:pPr>
      <w:r w:rsidRPr="00B85214">
        <w:rPr>
          <w:vanish/>
        </w:rPr>
        <w:t>&lt;&lt;</w:t>
      </w:r>
      <w:r w:rsidR="003F72B3" w:rsidRPr="00B85214">
        <w:rPr>
          <w:vanish/>
        </w:rPr>
        <w:t xml:space="preserve">Comparison </w:t>
      </w:r>
      <w:r w:rsidR="00F444BB" w:rsidRPr="00B85214">
        <w:rPr>
          <w:vanish/>
        </w:rPr>
        <w:t xml:space="preserve">of results </w:t>
      </w:r>
      <w:r w:rsidR="003F72B3" w:rsidRPr="00B85214">
        <w:rPr>
          <w:vanish/>
        </w:rPr>
        <w:t>to similar analyses in earlier years.</w:t>
      </w:r>
      <w:r w:rsidRPr="00B85214">
        <w:rPr>
          <w:vanish/>
        </w:rPr>
        <w:t>&gt;&gt;</w:t>
      </w:r>
    </w:p>
    <w:p w:rsidR="00BE7B15" w:rsidRDefault="007E1435" w:rsidP="008B2A23">
      <w:pPr>
        <w:pStyle w:val="Heading1"/>
      </w:pPr>
      <w:r>
        <w:t>Conclusion</w:t>
      </w:r>
    </w:p>
    <w:p w:rsidR="007A6398" w:rsidRDefault="00D73CE5" w:rsidP="00466181">
      <w:pPr>
        <w:pStyle w:val="BodyText"/>
      </w:pPr>
      <w:r>
        <w:t xml:space="preserve">The results in this study suggest that traders take into consideration </w:t>
      </w:r>
      <w:r w:rsidR="00466181">
        <w:t xml:space="preserve">value when setting their quotes in markets where the minimum price variation is large relative to price.  In particular, the evidence shows that the use of quotation sizes improves estimates of value, and that these estimates of value can be further improved by taking into account fees and rebates associated with maker-taker pricing. </w:t>
      </w:r>
      <w:r w:rsidR="00C61053">
        <w:t xml:space="preserve"> These results </w:t>
      </w:r>
      <w:r w:rsidR="00571499">
        <w:t xml:space="preserve">only </w:t>
      </w:r>
      <w:r w:rsidR="00C61053">
        <w:t xml:space="preserve">would be possible if traders consider value when setting their quotes.  </w:t>
      </w:r>
    </w:p>
    <w:p w:rsidR="00466181" w:rsidRDefault="007A6398" w:rsidP="00466181">
      <w:pPr>
        <w:pStyle w:val="BodyText"/>
      </w:pPr>
      <w:r>
        <w:t>Transaction evidence further confirms this conclusion.  Traders are more likely to trade near the bid when values estimated from the quotations are near the bid</w:t>
      </w:r>
      <w:r w:rsidR="00571499">
        <w:t>,</w:t>
      </w:r>
      <w:r>
        <w:t xml:space="preserve"> and near </w:t>
      </w:r>
      <w:proofErr w:type="gramStart"/>
      <w:r>
        <w:t>the ask</w:t>
      </w:r>
      <w:proofErr w:type="gramEnd"/>
      <w:r>
        <w:t xml:space="preserve"> when estimated values are near the ask.  </w:t>
      </w:r>
    </w:p>
    <w:p w:rsidR="00C61053" w:rsidRDefault="00C61053" w:rsidP="00466181">
      <w:pPr>
        <w:pStyle w:val="BodyText"/>
      </w:pPr>
      <w:r>
        <w:t xml:space="preserve">Additional results indicate that the distributions of the sub-pennies associated with the unadjusted value estimates have properties that we would expect on the assumption that true value sub-pennies are uniformly distributed and that traders take into account maker-taker fees and rebates when setting their quotes.  In particular, the distribution has more mass in its center and less on its sides than would be expected if the distribution were uniform.  However, the center of the distribution appears uniform, as the theory predicts.  In contrast, the adjusted value estimates that </w:t>
      </w:r>
      <w:r w:rsidR="004A27C8">
        <w:t>take into account maker-taker fees and rebates appear quite uniform.</w:t>
      </w:r>
    </w:p>
    <w:p w:rsidR="004A27C8" w:rsidRDefault="00C61053" w:rsidP="00466181">
      <w:pPr>
        <w:pStyle w:val="BodyText"/>
      </w:pPr>
      <w:r>
        <w:t xml:space="preserve">The bivariate distribution of </w:t>
      </w:r>
      <w:r w:rsidR="004A27C8">
        <w:t xml:space="preserve">unadjusted value estimate </w:t>
      </w:r>
      <w:r>
        <w:t xml:space="preserve">sub-pennies </w:t>
      </w:r>
      <w:r w:rsidR="004A27C8">
        <w:t xml:space="preserve">and lagged sub-pennies also has features that are consistent with traders responding to maker-taker pricing.  These effects largely go away when the value estimates are adjusted to take into account maker-taker fees and rebates.  </w:t>
      </w:r>
    </w:p>
    <w:p w:rsidR="00C61053" w:rsidRDefault="00C61053" w:rsidP="00466181">
      <w:pPr>
        <w:pStyle w:val="BodyText"/>
      </w:pPr>
      <w:r>
        <w:t xml:space="preserve">While these results could </w:t>
      </w:r>
      <w:r w:rsidR="00571499">
        <w:t xml:space="preserve">be due to </w:t>
      </w:r>
      <w:r>
        <w:t xml:space="preserve">other </w:t>
      </w:r>
      <w:r w:rsidR="00571499">
        <w:t>unspecified</w:t>
      </w:r>
      <w:r>
        <w:t xml:space="preserve"> microstructure effects, they </w:t>
      </w:r>
      <w:r w:rsidR="004A27C8">
        <w:t xml:space="preserve">are consistent with maker-taker pricing.  Moreover, the theoretical foundations of these effects are almost unassailable—professional traders </w:t>
      </w:r>
      <w:r w:rsidR="00DB48BC">
        <w:t xml:space="preserve">regularly consider </w:t>
      </w:r>
      <w:r w:rsidR="004A27C8">
        <w:t xml:space="preserve">the implications of maker-taker fees and rebates for their trading strategies.  </w:t>
      </w:r>
      <w:r w:rsidR="00DB48BC">
        <w:t xml:space="preserve">The notion that </w:t>
      </w:r>
      <w:proofErr w:type="gramStart"/>
      <w:r w:rsidR="00DB48BC">
        <w:t>an e</w:t>
      </w:r>
      <w:r w:rsidR="004A27C8">
        <w:t>quilibrium</w:t>
      </w:r>
      <w:proofErr w:type="gramEnd"/>
      <w:r w:rsidR="004A27C8">
        <w:t xml:space="preserve"> exists in spreads </w:t>
      </w:r>
      <w:r w:rsidR="00DB48BC">
        <w:t xml:space="preserve">that </w:t>
      </w:r>
      <w:r w:rsidR="004A27C8">
        <w:t xml:space="preserve">regulates </w:t>
      </w:r>
      <w:r w:rsidR="00DB48BC">
        <w:t xml:space="preserve">the </w:t>
      </w:r>
      <w:r w:rsidR="004A27C8">
        <w:t xml:space="preserve">making and taking </w:t>
      </w:r>
      <w:r w:rsidR="00DB48BC">
        <w:t>of liquidity is equally unassailable</w:t>
      </w:r>
      <w:r w:rsidR="00571499">
        <w:t xml:space="preserve"> since e</w:t>
      </w:r>
      <w:r w:rsidR="00DB48BC">
        <w:t>ssentially all competitive markets have equilibrium prices</w:t>
      </w:r>
      <w:r w:rsidR="00571499">
        <w:t>:</w:t>
      </w:r>
      <w:r w:rsidR="00DB48BC">
        <w:t xml:space="preserve">  No reason suggests that the market for liquidity would not.  However, this equilibrium </w:t>
      </w:r>
      <w:r w:rsidR="00B66F3D">
        <w:t xml:space="preserve">sometimes </w:t>
      </w:r>
      <w:r w:rsidR="004A27C8">
        <w:t>expresses itself in the form of high quotation size</w:t>
      </w:r>
      <w:r w:rsidR="00DB48BC">
        <w:t>s</w:t>
      </w:r>
      <w:r w:rsidR="004A27C8">
        <w:t xml:space="preserve"> when spreads are bounded below by the one-tick minimum price variation</w:t>
      </w:r>
      <w:r w:rsidR="00DB48BC">
        <w:t xml:space="preserve">. </w:t>
      </w:r>
      <w:r w:rsidR="004A27C8">
        <w:t xml:space="preserve"> </w:t>
      </w:r>
      <w:r w:rsidR="00DB48BC" w:rsidRPr="00B85214">
        <w:rPr>
          <w:vanish/>
        </w:rPr>
        <w:t>&lt;&lt;evidence from regression models?&gt;&gt;</w:t>
      </w:r>
    </w:p>
    <w:p w:rsidR="00DB48BC" w:rsidRDefault="00DB48BC" w:rsidP="00466181">
      <w:pPr>
        <w:pStyle w:val="BodyText"/>
      </w:pPr>
      <w:r>
        <w:t xml:space="preserve">The primary effect of maker-taker pricing is to narrow bid-ask spreads.  Unfortunately, such narrowing is </w:t>
      </w:r>
      <w:r w:rsidR="003F364B">
        <w:t xml:space="preserve">very difficult </w:t>
      </w:r>
      <w:r>
        <w:t xml:space="preserve">to identify because many other changes have affected spreads.  The evidence in this study shows that secondary effects of maker-taker pricing are present in the data.  If the secondary effects are present, then surely the primary effect also occurred. </w:t>
      </w:r>
    </w:p>
    <w:p w:rsidR="00DB48BC" w:rsidRDefault="00DB48BC" w:rsidP="00041627">
      <w:pPr>
        <w:pStyle w:val="Heading2"/>
      </w:pPr>
      <w:r>
        <w:t>Implications for Public Policy</w:t>
      </w:r>
    </w:p>
    <w:p w:rsidR="00C027D0" w:rsidRDefault="00DB48BC" w:rsidP="00DB48BC">
      <w:pPr>
        <w:pStyle w:val="BodyText"/>
      </w:pPr>
      <w:r>
        <w:t xml:space="preserve">By narrowing quoted bid-ask spreads, maker-taker pricing has introduced a transparency problem into the markets.  Quoted prices do not reflect net prices.  </w:t>
      </w:r>
    </w:p>
    <w:p w:rsidR="00DB48BC" w:rsidRDefault="00DB48BC" w:rsidP="00DB48BC">
      <w:pPr>
        <w:pStyle w:val="BodyText"/>
      </w:pPr>
      <w:r>
        <w:t xml:space="preserve">This problem aggravates agency problems between brokers and their clients because most clients do not receive liquidity rebates or pay access fees.  Accordingly, when brokers have discretion </w:t>
      </w:r>
      <w:r w:rsidR="00C027D0">
        <w:t>over the creation of order flow</w:t>
      </w:r>
      <w:r w:rsidR="00285A0D">
        <w:t xml:space="preserve"> (</w:t>
      </w:r>
      <w:r w:rsidR="00C027D0">
        <w:t>for example, when designing algorithms</w:t>
      </w:r>
      <w:r w:rsidR="00285A0D">
        <w:t xml:space="preserve">), </w:t>
      </w:r>
      <w:r w:rsidR="00C027D0">
        <w:t xml:space="preserve">maker-taker pricing can distort their decisions.  The </w:t>
      </w:r>
      <w:r w:rsidR="00285A0D">
        <w:t xml:space="preserve">maker-taker pricing </w:t>
      </w:r>
      <w:r w:rsidR="00C027D0">
        <w:t xml:space="preserve">can also distort trading decisions made by buy-side traders if rebates and fees go </w:t>
      </w:r>
      <w:r w:rsidR="00285A0D">
        <w:t xml:space="preserve">through </w:t>
      </w:r>
      <w:r w:rsidR="00C027D0">
        <w:t>the trading desk’</w:t>
      </w:r>
      <w:r w:rsidR="00EB65EC">
        <w:t>s</w:t>
      </w:r>
      <w:r w:rsidR="00C027D0">
        <w:t xml:space="preserve"> account and are not passed </w:t>
      </w:r>
      <w:r w:rsidR="00285A0D">
        <w:t xml:space="preserve">back </w:t>
      </w:r>
      <w:r w:rsidR="00C027D0">
        <w:t>to the accounts to which the trade</w:t>
      </w:r>
      <w:r w:rsidR="00285A0D">
        <w:t>s</w:t>
      </w:r>
      <w:r w:rsidR="00C027D0">
        <w:t xml:space="preserve"> are assigned</w:t>
      </w:r>
      <w:r w:rsidR="00816E38">
        <w:t xml:space="preserve">.  </w:t>
      </w:r>
    </w:p>
    <w:p w:rsidR="00DC03C4" w:rsidRDefault="006935BF" w:rsidP="00DB48BC">
      <w:pPr>
        <w:pStyle w:val="BodyText"/>
      </w:pPr>
      <w:r>
        <w:t xml:space="preserve">Furthermore, in markets where exchanges employing traditional pricing still compete with exchanges employing maker-taker pricing, the different systems create an agency problem between brokers and their clients.  Brokers will route standing orders to maker-taker exchanges to avoid access fees and earn liquidity rebates.  But takers will always route to a traditional exchange before routing to a maker-taker exchange offering the same price to avoid the access fee.  Accordingly, the orders posted at the maker-taker exchanges will be the last to trade.  </w:t>
      </w:r>
    </w:p>
    <w:p w:rsidR="00DB48BC" w:rsidRDefault="006935BF" w:rsidP="00DB48BC">
      <w:pPr>
        <w:pStyle w:val="BodyText"/>
      </w:pPr>
      <w:r>
        <w:t xml:space="preserve">In effect, these exchanges collude with brokers to </w:t>
      </w:r>
      <w:proofErr w:type="spellStart"/>
      <w:r>
        <w:t>reprice</w:t>
      </w:r>
      <w:proofErr w:type="spellEnd"/>
      <w:r>
        <w:t xml:space="preserve"> customer orders so that they can split the difference when</w:t>
      </w:r>
      <w:r w:rsidR="00F01F88">
        <w:t xml:space="preserve"> they execute.  For example, a limit </w:t>
      </w:r>
      <w:r>
        <w:t>order to buy at $20</w:t>
      </w:r>
      <w:r w:rsidR="00DC03C4">
        <w:t>.00</w:t>
      </w:r>
      <w:r>
        <w:t xml:space="preserve"> posted at a maker-taker exchange with a 0.3¢ access fee is essentially the same as a</w:t>
      </w:r>
      <w:r w:rsidR="00F01F88">
        <w:t xml:space="preserve"> limit </w:t>
      </w:r>
      <w:r>
        <w:t xml:space="preserve">order to buy at </w:t>
      </w:r>
      <w:r w:rsidR="003C2A45">
        <w:t xml:space="preserve">$19.997.  If </w:t>
      </w:r>
      <w:r>
        <w:t xml:space="preserve">the order executes, the </w:t>
      </w:r>
      <w:r w:rsidR="003C2A45">
        <w:t xml:space="preserve">seller will receive a net price of $19.997 after paying the access fee and </w:t>
      </w:r>
      <w:r>
        <w:t xml:space="preserve">buyer will </w:t>
      </w:r>
      <w:r w:rsidR="003C2A45">
        <w:t xml:space="preserve">still have to </w:t>
      </w:r>
      <w:r>
        <w:t>pay $20</w:t>
      </w:r>
      <w:r w:rsidR="003C2A45">
        <w:t>.</w:t>
      </w:r>
      <w:r w:rsidR="00DC03C4">
        <w:t>00.</w:t>
      </w:r>
      <w:r w:rsidR="003C2A45">
        <w:t xml:space="preserve">  The difference is split by the broker and the exchange, with the broker receiving the liquidity rebate and the exchange receiving the remainder of the access fee.</w:t>
      </w:r>
    </w:p>
    <w:p w:rsidR="003052CA" w:rsidRDefault="003052CA" w:rsidP="00DB48BC">
      <w:pPr>
        <w:pStyle w:val="BodyText"/>
      </w:pPr>
      <w:r>
        <w:t>The narrowing of bid</w:t>
      </w:r>
      <w:r w:rsidR="009C7160">
        <w:t>-</w:t>
      </w:r>
      <w:r>
        <w:t>ask spreads has a</w:t>
      </w:r>
      <w:r w:rsidR="00017490">
        <w:t>n</w:t>
      </w:r>
      <w:r>
        <w:t xml:space="preserve"> unrecognized effect on the debate concerning the internalization and </w:t>
      </w:r>
      <w:proofErr w:type="spellStart"/>
      <w:r>
        <w:t>preferencing</w:t>
      </w:r>
      <w:proofErr w:type="spellEnd"/>
      <w:r>
        <w:t xml:space="preserve"> of retail order flows.</w:t>
      </w:r>
      <w:r w:rsidRPr="003052CA">
        <w:rPr>
          <w:rStyle w:val="FootnoteReference"/>
        </w:rPr>
        <w:t xml:space="preserve"> </w:t>
      </w:r>
      <w:r>
        <w:rPr>
          <w:rStyle w:val="FootnoteReference"/>
        </w:rPr>
        <w:footnoteReference w:id="21"/>
      </w:r>
      <w:r>
        <w:t xml:space="preserve">  Interest in these processes has increased as exchange market shares have fallen.</w:t>
      </w:r>
      <w:r>
        <w:rPr>
          <w:rStyle w:val="FootnoteReference"/>
        </w:rPr>
        <w:footnoteReference w:id="22"/>
      </w:r>
      <w:r>
        <w:t xml:space="preserve">  The narrowing of spreads has substantially reduced payments for order flow, which many think is a good thing because the retail traders are getting better prices on average.  But the smaller payments have reduced public </w:t>
      </w:r>
      <w:r w:rsidR="00F01F88">
        <w:t xml:space="preserve">concerns about </w:t>
      </w:r>
      <w:r>
        <w:t xml:space="preserve">internalization, and thereby undercutting demands for change.  </w:t>
      </w:r>
    </w:p>
    <w:p w:rsidR="002377FE" w:rsidRDefault="003052CA" w:rsidP="002377FE">
      <w:pPr>
        <w:pStyle w:val="BodyText"/>
      </w:pPr>
      <w:r>
        <w:t xml:space="preserve">The least understood effect of the maker-taker pricing system has been the recent creation </w:t>
      </w:r>
      <w:r w:rsidR="002377FE">
        <w:t xml:space="preserve">by several exchange operators </w:t>
      </w:r>
      <w:r>
        <w:t xml:space="preserve">of </w:t>
      </w:r>
      <w:r w:rsidR="002377FE">
        <w:t xml:space="preserve">subsidiary </w:t>
      </w:r>
      <w:r>
        <w:t>exchange</w:t>
      </w:r>
      <w:r w:rsidR="002377FE">
        <w:t xml:space="preserve">s </w:t>
      </w:r>
      <w:r>
        <w:t xml:space="preserve">that employ taker-maker pricing.  </w:t>
      </w:r>
      <w:r w:rsidR="002377FE">
        <w:t xml:space="preserve">Under taker-maker pricing, the makers pay to have their orders represented and the takers are paid to fill those orders.  Taker-maker is thus the inverse of maker-taker pricing. </w:t>
      </w:r>
    </w:p>
    <w:p w:rsidR="002377FE" w:rsidRDefault="002377FE" w:rsidP="002377FE">
      <w:pPr>
        <w:pStyle w:val="BodyText"/>
      </w:pPr>
      <w:r>
        <w:t xml:space="preserve">Taker-maker pricing effectively allows traders to quote on sub-pennies without violating </w:t>
      </w:r>
      <w:r w:rsidR="00C31054">
        <w:t xml:space="preserve">the </w:t>
      </w:r>
      <w:r>
        <w:t>Regulation NMS prohibit</w:t>
      </w:r>
      <w:r w:rsidR="00C31054">
        <w:t xml:space="preserve">ion on </w:t>
      </w:r>
      <w:r>
        <w:t xml:space="preserve">sub-penny quotations. </w:t>
      </w:r>
      <w:r w:rsidR="004B5BF8">
        <w:t xml:space="preserve"> </w:t>
      </w:r>
      <w:r>
        <w:t>In particular, a trader who posts a limit bid of $20</w:t>
      </w:r>
      <w:r w:rsidR="00C31054">
        <w:t>.00</w:t>
      </w:r>
      <w:r>
        <w:t xml:space="preserve"> at a taker-maker exchange effectively is posting a bid of $20.0025, assuming that the taker rebate is 0.25¢/share.  Any seller willing to take the market will take in the inverse taker-maker market before taking an identically priced order in a taker-maker market where the net sales price would be $19.997.  The mechanism thus allows traders to effectively quote on sub-pennies and thereby jump ahead of other traders. </w:t>
      </w:r>
    </w:p>
    <w:p w:rsidR="002377FE" w:rsidRDefault="00017490" w:rsidP="002377FE">
      <w:pPr>
        <w:pStyle w:val="BodyText"/>
      </w:pPr>
      <w:r>
        <w:t xml:space="preserve">The SEC adopted the </w:t>
      </w:r>
      <w:r w:rsidR="00C176D6">
        <w:t xml:space="preserve">Regulation NMS </w:t>
      </w:r>
      <w:r>
        <w:t xml:space="preserve">prohibition on sub-penny quotations </w:t>
      </w:r>
      <w:r w:rsidR="002377FE">
        <w:t>to prevent front-running of standing limit order</w:t>
      </w:r>
      <w:r w:rsidR="004422C4">
        <w:t>s</w:t>
      </w:r>
      <w:r w:rsidR="002377FE">
        <w:t xml:space="preserve"> that </w:t>
      </w:r>
      <w:r>
        <w:t xml:space="preserve">electronic traders </w:t>
      </w:r>
      <w:r w:rsidR="00C31054">
        <w:t xml:space="preserve">increasingly </w:t>
      </w:r>
      <w:r w:rsidR="002377FE">
        <w:t>w</w:t>
      </w:r>
      <w:r>
        <w:t>ere doing</w:t>
      </w:r>
      <w:r w:rsidR="002377FE">
        <w:t>.  This strategy, called “</w:t>
      </w:r>
      <w:proofErr w:type="spellStart"/>
      <w:r w:rsidR="002377FE">
        <w:t>pennying</w:t>
      </w:r>
      <w:proofErr w:type="spellEnd"/>
      <w:r w:rsidR="002377FE">
        <w:t>” by practi</w:t>
      </w:r>
      <w:r>
        <w:t>ti</w:t>
      </w:r>
      <w:r w:rsidR="002377FE">
        <w:t>oners, and “quote-matching” by academics</w:t>
      </w:r>
      <w:r w:rsidR="00C36462">
        <w:t>,</w:t>
      </w:r>
      <w:r w:rsidR="002377FE">
        <w:t xml:space="preserve"> allows clever and fast trader</w:t>
      </w:r>
      <w:r>
        <w:t>s</w:t>
      </w:r>
      <w:r w:rsidR="002377FE">
        <w:t xml:space="preserve"> to </w:t>
      </w:r>
      <w:r>
        <w:t xml:space="preserve">profitably </w:t>
      </w:r>
      <w:r w:rsidR="002377FE">
        <w:t>extract option values from standing orders</w:t>
      </w:r>
      <w:r w:rsidR="004422C4">
        <w:t>, to the detriment of slower traders</w:t>
      </w:r>
      <w:r w:rsidR="002377FE">
        <w:t>.</w:t>
      </w:r>
      <w:r>
        <w:rPr>
          <w:rStyle w:val="FootnoteReference"/>
        </w:rPr>
        <w:footnoteReference w:id="23"/>
      </w:r>
      <w:r w:rsidR="002377FE">
        <w:t xml:space="preserve">  </w:t>
      </w:r>
    </w:p>
    <w:p w:rsidR="002377FE" w:rsidRDefault="00017490" w:rsidP="002377FE">
      <w:pPr>
        <w:pStyle w:val="BodyText"/>
      </w:pPr>
      <w:r>
        <w:t xml:space="preserve">The SEC also adopted the prohibition on sub-penny quotations to reduce the complexity of trading systems.  </w:t>
      </w:r>
      <w:r w:rsidR="004422C4">
        <w:t>But t</w:t>
      </w:r>
      <w:r>
        <w:t xml:space="preserve">he introduction of maker-taker and </w:t>
      </w:r>
      <w:r w:rsidR="004422C4">
        <w:t xml:space="preserve">now </w:t>
      </w:r>
      <w:r>
        <w:t xml:space="preserve">taker-maker pricing schemes have make the markets more complex and less transparent.  </w:t>
      </w:r>
    </w:p>
    <w:p w:rsidR="00017490" w:rsidRDefault="00017490" w:rsidP="00017490">
      <w:pPr>
        <w:pStyle w:val="BodyText"/>
      </w:pPr>
      <w:r>
        <w:t xml:space="preserve">Like the maker-taker pricing scheme, the taker-maker pricing scheme </w:t>
      </w:r>
      <w:r w:rsidR="004422C4">
        <w:t xml:space="preserve">also </w:t>
      </w:r>
      <w:r>
        <w:t>creates agency problems between brokers and their clients.  In particular, now that the de</w:t>
      </w:r>
      <w:r w:rsidR="006A5CC9">
        <w:t xml:space="preserve"> </w:t>
      </w:r>
      <w:r>
        <w:t xml:space="preserve">facto tick has become about ½ cent, </w:t>
      </w:r>
      <w:r w:rsidR="004422C4">
        <w:t xml:space="preserve">brokers generally will not send standing buy (or sell) limit orders to taker-maker exchanges where they would execute faster if prices have moved up (or down) slightly so that trading is taking place at those exchanges.  Instead, the orders will sit unexecuted at the maker-taker exchanges to the disadvantage of their clients. </w:t>
      </w:r>
    </w:p>
    <w:p w:rsidR="007C4297" w:rsidRDefault="004422C4" w:rsidP="002377FE">
      <w:pPr>
        <w:pStyle w:val="BodyText"/>
      </w:pPr>
      <w:r>
        <w:t xml:space="preserve">A trivial extension of the equilibrium spread model first presented in </w:t>
      </w:r>
      <w:r w:rsidRPr="00F81028">
        <w:t>C</w:t>
      </w:r>
      <w:r w:rsidR="00C36462">
        <w:t xml:space="preserve">MSW </w:t>
      </w:r>
      <w:r>
        <w:t xml:space="preserve">shows that in a perfect world with no fractions and agency problems, maker-taker pricing would have no net effect on trading because spreads would adjust to compensate.  The results in this study strongly suggest that the spreads have adjusted, even though the effect cannot be </w:t>
      </w:r>
      <w:r w:rsidR="00C36462">
        <w:t xml:space="preserve">easily </w:t>
      </w:r>
      <w:r>
        <w:t xml:space="preserve">measured.  </w:t>
      </w:r>
    </w:p>
    <w:p w:rsidR="00017490" w:rsidRDefault="00C36462" w:rsidP="002377FE">
      <w:pPr>
        <w:pStyle w:val="BodyText"/>
      </w:pPr>
      <w:r>
        <w:t xml:space="preserve">If </w:t>
      </w:r>
      <w:r w:rsidR="007C4297">
        <w:t xml:space="preserve">everyone </w:t>
      </w:r>
      <w:r>
        <w:t>could see through the transparency problem</w:t>
      </w:r>
      <w:r w:rsidR="007C4297">
        <w:t>,</w:t>
      </w:r>
      <w:r>
        <w:t xml:space="preserve"> and </w:t>
      </w:r>
      <w:r w:rsidR="007C4297">
        <w:t xml:space="preserve">everyone </w:t>
      </w:r>
      <w:r>
        <w:t xml:space="preserve">could control the </w:t>
      </w:r>
      <w:r w:rsidR="007C4297">
        <w:t xml:space="preserve">various </w:t>
      </w:r>
      <w:r>
        <w:t xml:space="preserve">agency problems </w:t>
      </w:r>
      <w:r w:rsidR="007C4297">
        <w:t xml:space="preserve">created </w:t>
      </w:r>
      <w:r>
        <w:t xml:space="preserve">by </w:t>
      </w:r>
      <w:r w:rsidR="007C4297">
        <w:t xml:space="preserve">the </w:t>
      </w:r>
      <w:r w:rsidR="004422C4">
        <w:t>maker-taker and taker-maker pricing</w:t>
      </w:r>
      <w:r w:rsidR="007C4297">
        <w:t xml:space="preserve"> schemes</w:t>
      </w:r>
      <w:r>
        <w:t xml:space="preserve">, </w:t>
      </w:r>
      <w:r w:rsidR="007C4297">
        <w:t>these pricing schemes would present no public policy concerns.  If not, t</w:t>
      </w:r>
      <w:r w:rsidR="004422C4">
        <w:t xml:space="preserve">he SEC should consider </w:t>
      </w:r>
      <w:r w:rsidR="007C4297">
        <w:t xml:space="preserve">restoring </w:t>
      </w:r>
      <w:r w:rsidR="002B7FA9">
        <w:t xml:space="preserve">the </w:t>
      </w:r>
      <w:r w:rsidR="007C4297">
        <w:t>simple traditional fee-based exchange pricing</w:t>
      </w:r>
      <w:r w:rsidR="002B7FA9">
        <w:t xml:space="preserve"> standard.  Doing so would eliminate much unproductive game</w:t>
      </w:r>
      <w:r w:rsidR="008E074D">
        <w:t xml:space="preserve"> </w:t>
      </w:r>
      <w:r w:rsidR="002B7FA9">
        <w:t xml:space="preserve">playing </w:t>
      </w:r>
      <w:r w:rsidR="008E074D">
        <w:t xml:space="preserve">while strengthening </w:t>
      </w:r>
      <w:r w:rsidR="002B7FA9">
        <w:t xml:space="preserve">exchange incentives to attract order flow by offering competitive fees for their services. </w:t>
      </w:r>
    </w:p>
    <w:p w:rsidR="00A00AA0" w:rsidRDefault="00A00AA0" w:rsidP="00A00AA0">
      <w:pPr>
        <w:pStyle w:val="Heading1"/>
        <w:numPr>
          <w:ilvl w:val="0"/>
          <w:numId w:val="0"/>
        </w:numPr>
        <w:jc w:val="center"/>
      </w:pPr>
      <w:r>
        <w:br w:type="page"/>
        <w:t>References</w:t>
      </w:r>
    </w:p>
    <w:p w:rsidR="00127D52" w:rsidRDefault="00127D52" w:rsidP="000042E4">
      <w:pPr>
        <w:pStyle w:val="BodyText"/>
      </w:pPr>
    </w:p>
    <w:p w:rsidR="00127D52" w:rsidRDefault="00DA3B0E" w:rsidP="006A5CC9">
      <w:pPr>
        <w:pStyle w:val="BodyText"/>
        <w:ind w:left="720" w:hanging="720"/>
      </w:pPr>
      <w:proofErr w:type="spellStart"/>
      <w:r w:rsidRPr="00DA3B0E">
        <w:t>Amihud</w:t>
      </w:r>
      <w:proofErr w:type="spellEnd"/>
      <w:r w:rsidRPr="00DA3B0E">
        <w:t xml:space="preserve">, </w:t>
      </w:r>
      <w:proofErr w:type="spellStart"/>
      <w:r w:rsidRPr="00DA3B0E">
        <w:t>Yakov</w:t>
      </w:r>
      <w:proofErr w:type="spellEnd"/>
      <w:r w:rsidRPr="00DA3B0E">
        <w:t xml:space="preserve">, and </w:t>
      </w:r>
      <w:proofErr w:type="spellStart"/>
      <w:r w:rsidRPr="00DA3B0E">
        <w:t>Haim</w:t>
      </w:r>
      <w:proofErr w:type="spellEnd"/>
      <w:r w:rsidRPr="00DA3B0E">
        <w:t xml:space="preserve"> </w:t>
      </w:r>
      <w:proofErr w:type="spellStart"/>
      <w:r w:rsidRPr="00DA3B0E">
        <w:t>Mendelson</w:t>
      </w:r>
      <w:proofErr w:type="spellEnd"/>
      <w:r w:rsidRPr="00DA3B0E">
        <w:t xml:space="preserve"> </w:t>
      </w:r>
      <w:r>
        <w:t>(</w:t>
      </w:r>
      <w:r w:rsidRPr="00DA3B0E">
        <w:t>1990</w:t>
      </w:r>
      <w:r>
        <w:t>)</w:t>
      </w:r>
      <w:r w:rsidRPr="00DA3B0E">
        <w:t xml:space="preserve">, </w:t>
      </w:r>
      <w:r>
        <w:t>“</w:t>
      </w:r>
      <w:r w:rsidRPr="00DA3B0E">
        <w:t>Option market integration: An evaluation,</w:t>
      </w:r>
      <w:r>
        <w:t>”</w:t>
      </w:r>
      <w:r w:rsidRPr="00DA3B0E">
        <w:t xml:space="preserve"> Paper submitted to the US Securities and Exchange Commission</w:t>
      </w:r>
      <w:r>
        <w:t xml:space="preserve">, January 1990.  </w:t>
      </w:r>
    </w:p>
    <w:p w:rsidR="00DA3B0E" w:rsidRPr="00D51BE8" w:rsidRDefault="00DA3B0E" w:rsidP="006A5CC9">
      <w:pPr>
        <w:pStyle w:val="BodyText"/>
        <w:ind w:left="720" w:hanging="720"/>
        <w:rPr>
          <w:vanish/>
        </w:rPr>
      </w:pPr>
    </w:p>
    <w:p w:rsidR="00127D52" w:rsidRPr="00D51BE8" w:rsidRDefault="00127D52" w:rsidP="006A5CC9">
      <w:pPr>
        <w:pStyle w:val="BodyText"/>
        <w:ind w:left="720" w:hanging="720"/>
        <w:rPr>
          <w:vanish/>
        </w:rPr>
      </w:pPr>
    </w:p>
    <w:p w:rsidR="00127D52" w:rsidRPr="00D51BE8" w:rsidRDefault="00127D52" w:rsidP="006A5CC9">
      <w:pPr>
        <w:pStyle w:val="BodyText"/>
        <w:ind w:left="720" w:hanging="720"/>
        <w:rPr>
          <w:vanish/>
        </w:rPr>
      </w:pPr>
      <w:r w:rsidRPr="00D51BE8">
        <w:rPr>
          <w:vanish/>
        </w:rPr>
        <w:t xml:space="preserve">Papers to look at </w:t>
      </w:r>
    </w:p>
    <w:p w:rsidR="00127D52" w:rsidRPr="00D51BE8" w:rsidRDefault="00127D52" w:rsidP="006A5CC9">
      <w:pPr>
        <w:pStyle w:val="BodyText"/>
        <w:ind w:left="720" w:hanging="720"/>
        <w:rPr>
          <w:vanish/>
        </w:rPr>
      </w:pPr>
      <w:r w:rsidRPr="00D51BE8">
        <w:rPr>
          <w:vanish/>
        </w:rPr>
        <w:t>Bloomfield, R., O’Hara, M., &amp; Saar, G. (2005). The “make or take” decision in an electronic market: Evidence on the evolution of liquidity. Journal of Financial Economics, 75, 165–199.</w:t>
      </w:r>
    </w:p>
    <w:p w:rsidR="00127D52" w:rsidRPr="00D51BE8" w:rsidRDefault="00127D52" w:rsidP="006A5CC9">
      <w:pPr>
        <w:pStyle w:val="BodyText"/>
        <w:ind w:left="720" w:hanging="720"/>
        <w:rPr>
          <w:vanish/>
        </w:rPr>
      </w:pPr>
    </w:p>
    <w:p w:rsidR="00127D52" w:rsidRPr="00D51BE8" w:rsidRDefault="00127D52" w:rsidP="006A5CC9">
      <w:pPr>
        <w:pStyle w:val="BodyText"/>
        <w:ind w:left="720" w:hanging="720"/>
        <w:rPr>
          <w:vanish/>
        </w:rPr>
      </w:pPr>
      <w:r w:rsidRPr="00D51BE8">
        <w:rPr>
          <w:vanish/>
        </w:rPr>
        <w:t>DeJong, F. (2002). Measures of contributions to price discovery: A comparison. Journal of Financial Markets, 5, 323–328.</w:t>
      </w:r>
    </w:p>
    <w:p w:rsidR="00127D52" w:rsidRPr="00D51BE8" w:rsidRDefault="00127D52" w:rsidP="006A5CC9">
      <w:pPr>
        <w:pStyle w:val="BodyText"/>
        <w:ind w:left="720" w:hanging="720"/>
        <w:rPr>
          <w:vanish/>
        </w:rPr>
      </w:pPr>
    </w:p>
    <w:p w:rsidR="00127D52" w:rsidRPr="00D51BE8" w:rsidRDefault="00127D52" w:rsidP="006A5CC9">
      <w:pPr>
        <w:pStyle w:val="BodyText"/>
        <w:ind w:left="720" w:hanging="720"/>
        <w:rPr>
          <w:vanish/>
        </w:rPr>
      </w:pPr>
      <w:r w:rsidRPr="00D51BE8">
        <w:rPr>
          <w:vanish/>
        </w:rPr>
        <w:t>Hollifield, B., Miller, R., &amp; Sandas, P. (2004). Empirical analysis of limit order markets, Review of Economic Studies, 71, 1027–1063.</w:t>
      </w:r>
    </w:p>
    <w:p w:rsidR="00127D52" w:rsidRPr="00D51BE8" w:rsidRDefault="00127D52" w:rsidP="006A5CC9">
      <w:pPr>
        <w:pStyle w:val="BodyText"/>
        <w:ind w:left="720" w:hanging="720"/>
        <w:rPr>
          <w:vanish/>
        </w:rPr>
      </w:pPr>
    </w:p>
    <w:p w:rsidR="00127D52" w:rsidRPr="00D51BE8" w:rsidRDefault="00127D52" w:rsidP="006A5CC9">
      <w:pPr>
        <w:pStyle w:val="BodyText"/>
        <w:ind w:left="720" w:hanging="720"/>
        <w:rPr>
          <w:vanish/>
        </w:rPr>
      </w:pPr>
      <w:r w:rsidRPr="00D51BE8">
        <w:rPr>
          <w:vanish/>
        </w:rPr>
        <w:t>Huang, R., &amp; Stoll, H. (1994). Market microstructure and stock return predictions, Review of Financial Studies, 7, 179–213.</w:t>
      </w:r>
    </w:p>
    <w:p w:rsidR="00127D52" w:rsidRPr="00D51BE8" w:rsidRDefault="00127D52" w:rsidP="006A5CC9">
      <w:pPr>
        <w:pStyle w:val="BodyText"/>
        <w:ind w:left="720" w:hanging="720"/>
        <w:rPr>
          <w:vanish/>
        </w:rPr>
      </w:pPr>
    </w:p>
    <w:p w:rsidR="00127D52" w:rsidRPr="00D51BE8" w:rsidRDefault="00127D52" w:rsidP="006A5CC9">
      <w:pPr>
        <w:pStyle w:val="BodyText"/>
        <w:ind w:left="720" w:hanging="720"/>
        <w:rPr>
          <w:vanish/>
        </w:rPr>
      </w:pPr>
      <w:r w:rsidRPr="00D51BE8">
        <w:rPr>
          <w:vanish/>
        </w:rPr>
        <w:t>Kavajecz, K., &amp; Odders-White, E. (2004). Technical analysis and liquidity provision, Review of Financial Studies, 17, 1043–1071.</w:t>
      </w:r>
    </w:p>
    <w:p w:rsidR="00127D52" w:rsidRPr="00D51BE8" w:rsidRDefault="00127D52" w:rsidP="006A5CC9">
      <w:pPr>
        <w:pStyle w:val="BodyText"/>
        <w:ind w:left="720" w:hanging="720"/>
        <w:rPr>
          <w:vanish/>
        </w:rPr>
      </w:pPr>
      <w:r w:rsidRPr="00D51BE8">
        <w:rPr>
          <w:vanish/>
        </w:rPr>
        <w:t xml:space="preserve">Shows that support and resistance levels studied by market technicians are related to peaks in depth.  </w:t>
      </w:r>
    </w:p>
    <w:p w:rsidR="00127D52" w:rsidRPr="00D51BE8" w:rsidRDefault="00127D52" w:rsidP="006A5CC9">
      <w:pPr>
        <w:pStyle w:val="BodyText"/>
        <w:ind w:left="720" w:hanging="720"/>
        <w:rPr>
          <w:vanish/>
        </w:rPr>
      </w:pPr>
    </w:p>
    <w:p w:rsidR="00127D52" w:rsidRPr="00D51BE8" w:rsidRDefault="00127D52" w:rsidP="006A5CC9">
      <w:pPr>
        <w:pStyle w:val="BodyText"/>
        <w:ind w:left="720" w:hanging="720"/>
        <w:rPr>
          <w:vanish/>
        </w:rPr>
      </w:pPr>
      <w:r w:rsidRPr="00D51BE8">
        <w:rPr>
          <w:vanish/>
        </w:rPr>
        <w:t>Search on “Information content of limit order book”</w:t>
      </w:r>
    </w:p>
    <w:p w:rsidR="00127D52" w:rsidRPr="00D51BE8" w:rsidRDefault="00127D52" w:rsidP="006A5CC9">
      <w:pPr>
        <w:pStyle w:val="BodyText"/>
        <w:ind w:left="720" w:hanging="720"/>
        <w:rPr>
          <w:vanish/>
        </w:rPr>
      </w:pPr>
    </w:p>
    <w:p w:rsidR="00127D52" w:rsidRPr="00D51BE8" w:rsidRDefault="00127D52" w:rsidP="006A5CC9">
      <w:pPr>
        <w:pStyle w:val="BodyText"/>
        <w:ind w:left="720" w:hanging="720"/>
        <w:rPr>
          <w:vanish/>
        </w:rPr>
      </w:pPr>
    </w:p>
    <w:p w:rsidR="00127D52" w:rsidRPr="00D51BE8" w:rsidRDefault="00127D52" w:rsidP="006A5CC9">
      <w:pPr>
        <w:pStyle w:val="BodyText"/>
        <w:ind w:left="720" w:hanging="720"/>
        <w:rPr>
          <w:vanish/>
        </w:rPr>
      </w:pPr>
    </w:p>
    <w:p w:rsidR="00127D52" w:rsidRPr="00D51BE8" w:rsidRDefault="00127D52" w:rsidP="006A5CC9">
      <w:pPr>
        <w:pStyle w:val="BodyText"/>
        <w:ind w:left="720" w:hanging="720"/>
        <w:rPr>
          <w:vanish/>
        </w:rPr>
      </w:pPr>
    </w:p>
    <w:p w:rsidR="00127D52" w:rsidRPr="00D51BE8" w:rsidRDefault="00127D52" w:rsidP="006A5CC9">
      <w:pPr>
        <w:pStyle w:val="BodyText"/>
        <w:ind w:left="720" w:hanging="720"/>
        <w:rPr>
          <w:vanish/>
        </w:rPr>
      </w:pPr>
    </w:p>
    <w:p w:rsidR="00127D52" w:rsidRPr="00D51BE8" w:rsidRDefault="00127D52" w:rsidP="006A5CC9">
      <w:pPr>
        <w:pStyle w:val="BodyText"/>
        <w:ind w:left="720" w:hanging="720"/>
        <w:rPr>
          <w:vanish/>
        </w:rPr>
      </w:pPr>
    </w:p>
    <w:p w:rsidR="00127D52" w:rsidRPr="00D51BE8" w:rsidRDefault="00127D52" w:rsidP="006A5CC9">
      <w:pPr>
        <w:pStyle w:val="BodyText"/>
        <w:ind w:left="720" w:hanging="720"/>
        <w:rPr>
          <w:vanish/>
        </w:rPr>
      </w:pPr>
    </w:p>
    <w:p w:rsidR="00127D52" w:rsidRPr="00D51BE8" w:rsidRDefault="00127D52" w:rsidP="006A5CC9">
      <w:pPr>
        <w:pStyle w:val="BodyText"/>
        <w:ind w:left="720" w:hanging="720"/>
        <w:rPr>
          <w:vanish/>
        </w:rPr>
      </w:pPr>
    </w:p>
    <w:p w:rsidR="00127D52" w:rsidRPr="00127D52" w:rsidRDefault="00127D52" w:rsidP="006A5CC9">
      <w:pPr>
        <w:pStyle w:val="BodyText"/>
        <w:ind w:left="720" w:hanging="720"/>
      </w:pPr>
      <w:proofErr w:type="gramStart"/>
      <w:r w:rsidRPr="00127D52">
        <w:t xml:space="preserve">Angel, James, Lawrence Harris, and Chester Spatt </w:t>
      </w:r>
      <w:r>
        <w:t xml:space="preserve">(2011), </w:t>
      </w:r>
      <w:r w:rsidRPr="00127D52">
        <w:t>“Equity Trading in the 21st Century,”</w:t>
      </w:r>
      <w:r>
        <w:t xml:space="preserve"> </w:t>
      </w:r>
      <w:r w:rsidRPr="00127D52">
        <w:rPr>
          <w:i/>
        </w:rPr>
        <w:t>Quarterly Journal of Finance</w:t>
      </w:r>
      <w:r w:rsidRPr="00127D52">
        <w:t>, v.1 (1), March 2011, p 1-53</w:t>
      </w:r>
      <w:r>
        <w:t>.</w:t>
      </w:r>
      <w:proofErr w:type="gramEnd"/>
      <w:r w:rsidRPr="00127D52">
        <w:t xml:space="preserve"> </w:t>
      </w:r>
    </w:p>
    <w:p w:rsidR="00127D52" w:rsidRDefault="00127D52" w:rsidP="006A5CC9">
      <w:pPr>
        <w:pStyle w:val="BodyText"/>
        <w:ind w:left="720" w:hanging="720"/>
      </w:pPr>
      <w:r w:rsidRPr="00127D52">
        <w:t>Angel, James, Lawrence Harris, and Chester Spatt</w:t>
      </w:r>
      <w:r>
        <w:t xml:space="preserve"> (2013)</w:t>
      </w:r>
      <w:r w:rsidRPr="00127D52">
        <w:t xml:space="preserve">, “Equity Trading in the 21st Century: An Update,” May 2013, forthcoming </w:t>
      </w:r>
      <w:r w:rsidRPr="00127D52">
        <w:rPr>
          <w:i/>
        </w:rPr>
        <w:t>Quarterly Journal of Finance</w:t>
      </w:r>
      <w:r w:rsidRPr="00127D52">
        <w:t xml:space="preserve">. </w:t>
      </w:r>
    </w:p>
    <w:p w:rsidR="00127D52" w:rsidRDefault="00127D52" w:rsidP="006A5CC9">
      <w:pPr>
        <w:pStyle w:val="BodyText"/>
        <w:ind w:left="720" w:hanging="720"/>
      </w:pPr>
      <w:proofErr w:type="gramStart"/>
      <w:r>
        <w:t xml:space="preserve">Avellaneda, Marco, Josh Reed and Sasha </w:t>
      </w:r>
      <w:proofErr w:type="spellStart"/>
      <w:r>
        <w:t>Stoikov</w:t>
      </w:r>
      <w:proofErr w:type="spellEnd"/>
      <w:r>
        <w:t xml:space="preserve"> (2011), “Forecasting Prices from Level-I Quotes in the Presence of Hidden Liquidity,” Algorithmic Finance, Vol. 1, No. 1.</w:t>
      </w:r>
      <w:proofErr w:type="gramEnd"/>
      <w:r>
        <w:t xml:space="preserve"> </w:t>
      </w:r>
    </w:p>
    <w:p w:rsidR="00127D52" w:rsidRDefault="00127D52" w:rsidP="006A5CC9">
      <w:pPr>
        <w:pStyle w:val="BodyText"/>
        <w:ind w:left="720" w:hanging="720"/>
      </w:pPr>
      <w:proofErr w:type="gramStart"/>
      <w:r w:rsidRPr="0022583E">
        <w:t xml:space="preserve">Battalio, Robert H., </w:t>
      </w:r>
      <w:proofErr w:type="spellStart"/>
      <w:r w:rsidRPr="0022583E">
        <w:t>Andriy</w:t>
      </w:r>
      <w:proofErr w:type="spellEnd"/>
      <w:r w:rsidRPr="0022583E">
        <w:t xml:space="preserve"> </w:t>
      </w:r>
      <w:proofErr w:type="spellStart"/>
      <w:r w:rsidRPr="0022583E">
        <w:t>Shkilko</w:t>
      </w:r>
      <w:proofErr w:type="spellEnd"/>
      <w:r w:rsidRPr="0022583E">
        <w:t xml:space="preserve">, and </w:t>
      </w:r>
      <w:r>
        <w:t xml:space="preserve">Robert A. </w:t>
      </w:r>
      <w:r w:rsidRPr="0022583E">
        <w:t>Van Ness</w:t>
      </w:r>
      <w:r>
        <w:t xml:space="preserve"> (2011)</w:t>
      </w:r>
      <w:r w:rsidRPr="0022583E">
        <w:t xml:space="preserve">, </w:t>
      </w:r>
      <w:r>
        <w:t>“</w:t>
      </w:r>
      <w:r w:rsidRPr="0022583E">
        <w:t>To Pay or Be Paid?</w:t>
      </w:r>
      <w:proofErr w:type="gramEnd"/>
      <w:r w:rsidRPr="0022583E">
        <w:t xml:space="preserve"> The Impact of Taker Fees and Order Flow Inducements on Trading Costs in U.S. Options Markets</w:t>
      </w:r>
      <w:r>
        <w:t>”</w:t>
      </w:r>
      <w:r w:rsidRPr="0022583E">
        <w:t xml:space="preserve"> (November 3, 2011). Available at SSRN: http://ssrn.com/abstract=1954119 or </w:t>
      </w:r>
      <w:hyperlink r:id="rId11" w:history="1">
        <w:r w:rsidRPr="00802280">
          <w:t>http://dx.doi.org/10.2139/ssrn.1954119</w:t>
        </w:r>
      </w:hyperlink>
      <w:r>
        <w:t>.</w:t>
      </w:r>
    </w:p>
    <w:p w:rsidR="00127D52" w:rsidRPr="002379F3" w:rsidRDefault="00127D52" w:rsidP="006A5CC9">
      <w:pPr>
        <w:pStyle w:val="BodyText"/>
        <w:ind w:left="720" w:hanging="720"/>
      </w:pPr>
      <w:proofErr w:type="spellStart"/>
      <w:r>
        <w:t>Bookstabbler</w:t>
      </w:r>
      <w:proofErr w:type="spellEnd"/>
      <w:r>
        <w:t xml:space="preserve">, Richard M. (2007), </w:t>
      </w:r>
      <w:proofErr w:type="gramStart"/>
      <w:r w:rsidR="002379F3" w:rsidRPr="002379F3">
        <w:rPr>
          <w:i/>
        </w:rPr>
        <w:t>A</w:t>
      </w:r>
      <w:proofErr w:type="gramEnd"/>
      <w:r w:rsidR="002379F3" w:rsidRPr="002379F3">
        <w:rPr>
          <w:i/>
        </w:rPr>
        <w:t xml:space="preserve"> Demon of Our Own Design: Markets, Hedge Funds, and the Perils of Financial Innovation</w:t>
      </w:r>
      <w:r w:rsidR="002379F3">
        <w:t xml:space="preserve">, Wiley, 276pp. </w:t>
      </w:r>
    </w:p>
    <w:p w:rsidR="00127D52" w:rsidRDefault="00127D52" w:rsidP="006A5CC9">
      <w:pPr>
        <w:pStyle w:val="BodyText"/>
        <w:ind w:left="720" w:hanging="720"/>
      </w:pPr>
      <w:proofErr w:type="spellStart"/>
      <w:r w:rsidRPr="00A278E7">
        <w:t>Brolle</w:t>
      </w:r>
      <w:r>
        <w:t>y</w:t>
      </w:r>
      <w:proofErr w:type="spellEnd"/>
      <w:r>
        <w:t xml:space="preserve">, Michael and Katya </w:t>
      </w:r>
      <w:proofErr w:type="spellStart"/>
      <w:r>
        <w:t>Malinova</w:t>
      </w:r>
      <w:proofErr w:type="spellEnd"/>
      <w:r>
        <w:t xml:space="preserve"> (2012), “</w:t>
      </w:r>
      <w:r w:rsidRPr="00A278E7">
        <w:t>Informed Trading and Maker-Taker Fees in a Low-Latency Limit Order Market</w:t>
      </w:r>
      <w:r>
        <w:t>”</w:t>
      </w:r>
      <w:r w:rsidRPr="00A278E7">
        <w:t xml:space="preserve"> (November 19, 2012). Available at SSRN: http://ssrn.com/abstract=2178102 or </w:t>
      </w:r>
      <w:hyperlink r:id="rId12" w:history="1">
        <w:r w:rsidRPr="00802280">
          <w:t>http://dx.doi.org/10.2139/ssrn.2178102</w:t>
        </w:r>
      </w:hyperlink>
    </w:p>
    <w:p w:rsidR="00127D52" w:rsidRDefault="00127D52" w:rsidP="006A5CC9">
      <w:pPr>
        <w:pStyle w:val="BodyText"/>
        <w:ind w:left="720" w:hanging="720"/>
      </w:pPr>
      <w:proofErr w:type="spellStart"/>
      <w:r>
        <w:t>Burlakov</w:t>
      </w:r>
      <w:proofErr w:type="spellEnd"/>
      <w:r>
        <w:t xml:space="preserve">, Yuri, Michael Kamal and Michele </w:t>
      </w:r>
      <w:proofErr w:type="spellStart"/>
      <w:r>
        <w:t>Salvadore</w:t>
      </w:r>
      <w:proofErr w:type="spellEnd"/>
      <w:r>
        <w:t xml:space="preserve"> (2012), “Optimal limit order execution in a simple model for market microstructure dynamics,” working paper, Chicago Trading Company, LLC, 440 South LaSalle, 4th Floor, Chicago, IL 60605, October 24, 2012. </w:t>
      </w:r>
    </w:p>
    <w:p w:rsidR="00127D52" w:rsidRDefault="00127D52" w:rsidP="006A5CC9">
      <w:pPr>
        <w:pStyle w:val="BodyText"/>
        <w:ind w:left="720" w:hanging="720"/>
      </w:pPr>
      <w:proofErr w:type="spellStart"/>
      <w:r w:rsidRPr="00E0791B">
        <w:t>Cardella</w:t>
      </w:r>
      <w:proofErr w:type="spellEnd"/>
      <w:r w:rsidRPr="00E0791B">
        <w:t xml:space="preserve">, Laura, Jia </w:t>
      </w:r>
      <w:proofErr w:type="spellStart"/>
      <w:r w:rsidRPr="00E0791B">
        <w:t>Hao</w:t>
      </w:r>
      <w:proofErr w:type="spellEnd"/>
      <w:r w:rsidRPr="00E0791B">
        <w:t xml:space="preserve">, and </w:t>
      </w:r>
      <w:proofErr w:type="spellStart"/>
      <w:r w:rsidRPr="00E0791B">
        <w:t>Ivalina</w:t>
      </w:r>
      <w:proofErr w:type="spellEnd"/>
      <w:r w:rsidRPr="00E0791B">
        <w:t xml:space="preserve"> </w:t>
      </w:r>
      <w:proofErr w:type="spellStart"/>
      <w:r w:rsidRPr="00E0791B">
        <w:t>Kalcheva</w:t>
      </w:r>
      <w:proofErr w:type="spellEnd"/>
      <w:r w:rsidRPr="00E0791B">
        <w:t xml:space="preserve"> </w:t>
      </w:r>
      <w:r>
        <w:t>(2013)</w:t>
      </w:r>
      <w:r w:rsidRPr="00E0791B">
        <w:t xml:space="preserve">, </w:t>
      </w:r>
      <w:r>
        <w:t>“</w:t>
      </w:r>
      <w:r w:rsidRPr="00E0791B">
        <w:t>Make and Take Fees in the U.S. Equity Market</w:t>
      </w:r>
      <w:r>
        <w:t>”</w:t>
      </w:r>
      <w:r w:rsidRPr="00E0791B">
        <w:t xml:space="preserve"> (April 29, 2013). Available at SSRN: http://ssrn.com/abstract=2149302 or </w:t>
      </w:r>
      <w:hyperlink r:id="rId13" w:history="1">
        <w:r w:rsidRPr="00802280">
          <w:t>http://dx.doi.org/10.2139/ssrn.2149302</w:t>
        </w:r>
      </w:hyperlink>
      <w:r>
        <w:t>.</w:t>
      </w:r>
    </w:p>
    <w:p w:rsidR="00127D52" w:rsidRPr="000042E4" w:rsidRDefault="00127D52" w:rsidP="006A5CC9">
      <w:pPr>
        <w:pStyle w:val="BodyText"/>
        <w:ind w:left="720" w:hanging="720"/>
      </w:pPr>
      <w:proofErr w:type="gramStart"/>
      <w:r w:rsidRPr="000042E4">
        <w:t>Cohen</w:t>
      </w:r>
      <w:r>
        <w:t>,</w:t>
      </w:r>
      <w:r w:rsidRPr="000042E4">
        <w:t xml:space="preserve"> </w:t>
      </w:r>
      <w:proofErr w:type="spellStart"/>
      <w:r w:rsidRPr="000042E4">
        <w:t>Kalman</w:t>
      </w:r>
      <w:proofErr w:type="spellEnd"/>
      <w:r w:rsidRPr="000042E4">
        <w:t xml:space="preserve"> J., Steven F. Maier, Robert A. Schwartz and David K. Whitcomb</w:t>
      </w:r>
      <w:r>
        <w:t xml:space="preserve"> (1981), “</w:t>
      </w:r>
      <w:r w:rsidRPr="000042E4">
        <w:t>Transaction Costs, Order Placement Strategy, and Existence of the Bid-Ask Spread</w:t>
      </w:r>
      <w:r>
        <w:t xml:space="preserve">,” </w:t>
      </w:r>
      <w:r w:rsidRPr="000042E4">
        <w:t>Journal of Political Economy, Vol. 89, No. 2 (Apr., 1981), pp. 287-305</w:t>
      </w:r>
      <w:r>
        <w:t>.</w:t>
      </w:r>
      <w:proofErr w:type="gramEnd"/>
    </w:p>
    <w:p w:rsidR="00127D52" w:rsidRDefault="00127D52" w:rsidP="006A5CC9">
      <w:pPr>
        <w:pStyle w:val="BodyText"/>
        <w:ind w:left="720" w:hanging="720"/>
      </w:pPr>
      <w:proofErr w:type="spellStart"/>
      <w:proofErr w:type="gramStart"/>
      <w:r w:rsidRPr="000955A1">
        <w:t>Colliard</w:t>
      </w:r>
      <w:proofErr w:type="spellEnd"/>
      <w:r w:rsidRPr="000955A1">
        <w:t>, Jean-</w:t>
      </w:r>
      <w:proofErr w:type="spellStart"/>
      <w:r w:rsidRPr="000955A1">
        <w:t>Edouard</w:t>
      </w:r>
      <w:proofErr w:type="spellEnd"/>
      <w:r w:rsidRPr="000955A1">
        <w:t xml:space="preserve"> and Foucault, Thierry</w:t>
      </w:r>
      <w:r>
        <w:t xml:space="preserve"> (2012)</w:t>
      </w:r>
      <w:r w:rsidRPr="000955A1">
        <w:t xml:space="preserve">, </w:t>
      </w:r>
      <w:r>
        <w:t>“</w:t>
      </w:r>
      <w:r w:rsidRPr="000955A1">
        <w:t>Trading Fees and Efficiency in Limit Order Markets</w:t>
      </w:r>
      <w:r>
        <w:t>”</w:t>
      </w:r>
      <w:r w:rsidRPr="000955A1">
        <w:t xml:space="preserve"> (Mar</w:t>
      </w:r>
      <w:r>
        <w:t xml:space="preserve">ch </w:t>
      </w:r>
      <w:r w:rsidRPr="000955A1">
        <w:t>1, 2012).</w:t>
      </w:r>
      <w:proofErr w:type="gramEnd"/>
      <w:r w:rsidRPr="000955A1">
        <w:t xml:space="preserve"> Available at SSRN: http://ssrn.com/abstract=1831146 or </w:t>
      </w:r>
      <w:hyperlink r:id="rId14" w:history="1">
        <w:r w:rsidRPr="00802280">
          <w:t>http://dx.doi.org/10.2139/ssrn.1831146</w:t>
        </w:r>
      </w:hyperlink>
      <w:r>
        <w:t>.</w:t>
      </w:r>
    </w:p>
    <w:p w:rsidR="00127D52" w:rsidRPr="00802280" w:rsidRDefault="00127D52" w:rsidP="006A5CC9">
      <w:pPr>
        <w:pStyle w:val="BodyText"/>
        <w:ind w:left="720" w:hanging="720"/>
      </w:pPr>
      <w:proofErr w:type="gramStart"/>
      <w:r w:rsidRPr="00802280">
        <w:t xml:space="preserve">Foucault, Thierry, </w:t>
      </w:r>
      <w:proofErr w:type="spellStart"/>
      <w:r w:rsidRPr="00802280">
        <w:t>Ohad</w:t>
      </w:r>
      <w:proofErr w:type="spellEnd"/>
      <w:r w:rsidRPr="00802280">
        <w:t xml:space="preserve"> </w:t>
      </w:r>
      <w:proofErr w:type="spellStart"/>
      <w:r w:rsidRPr="00802280">
        <w:t>Kadan</w:t>
      </w:r>
      <w:proofErr w:type="spellEnd"/>
      <w:r w:rsidRPr="00802280">
        <w:t xml:space="preserve">, and Eugene </w:t>
      </w:r>
      <w:proofErr w:type="spellStart"/>
      <w:r w:rsidRPr="00802280">
        <w:t>Kandel</w:t>
      </w:r>
      <w:proofErr w:type="spellEnd"/>
      <w:r w:rsidRPr="00802280">
        <w:t xml:space="preserve"> (2013)</w:t>
      </w:r>
      <w:r>
        <w:t>,</w:t>
      </w:r>
      <w:r w:rsidRPr="00802280">
        <w:t xml:space="preserve"> “Cycles and Make/Take Fees in Electronic Markets, </w:t>
      </w:r>
      <w:r w:rsidRPr="00802280">
        <w:rPr>
          <w:i/>
        </w:rPr>
        <w:t>Journal of Finance</w:t>
      </w:r>
      <w:r w:rsidRPr="00802280">
        <w:t>, 68: 299–341.</w:t>
      </w:r>
      <w:proofErr w:type="gramEnd"/>
      <w:r w:rsidRPr="00802280">
        <w:t xml:space="preserve"> </w:t>
      </w:r>
    </w:p>
    <w:p w:rsidR="00127D52" w:rsidRDefault="00127D52" w:rsidP="006A5CC9">
      <w:pPr>
        <w:pStyle w:val="BodyText"/>
        <w:ind w:left="720" w:hanging="720"/>
      </w:pPr>
      <w:proofErr w:type="spellStart"/>
      <w:r>
        <w:t>Gatheral</w:t>
      </w:r>
      <w:proofErr w:type="spellEnd"/>
      <w:r>
        <w:t xml:space="preserve">, Jim and </w:t>
      </w:r>
      <w:proofErr w:type="spellStart"/>
      <w:r>
        <w:t>Roel</w:t>
      </w:r>
      <w:proofErr w:type="spellEnd"/>
      <w:r>
        <w:t xml:space="preserve"> C. A. </w:t>
      </w:r>
      <w:proofErr w:type="spellStart"/>
      <w:r>
        <w:t>Oomen</w:t>
      </w:r>
      <w:proofErr w:type="spellEnd"/>
      <w:r>
        <w:t xml:space="preserve"> (2010), “Zero-Intelligence Realized Variance Estimation,” Finance and </w:t>
      </w:r>
      <w:proofErr w:type="spellStart"/>
      <w:r>
        <w:t>Stochastics</w:t>
      </w:r>
      <w:proofErr w:type="spellEnd"/>
      <w:r>
        <w:t xml:space="preserve">, Vol. 14, No. 2, pp. 249-283.  </w:t>
      </w:r>
    </w:p>
    <w:p w:rsidR="002379F3" w:rsidRDefault="002379F3" w:rsidP="006A5CC9">
      <w:pPr>
        <w:pStyle w:val="BodyText"/>
        <w:ind w:left="720" w:hanging="720"/>
      </w:pPr>
      <w:r>
        <w:t xml:space="preserve">Grossman, Sanford J. and Joseph E. </w:t>
      </w:r>
      <w:proofErr w:type="spellStart"/>
      <w:r>
        <w:t>Stiglitz</w:t>
      </w:r>
      <w:proofErr w:type="spellEnd"/>
      <w:r>
        <w:t xml:space="preserve"> (1980), “</w:t>
      </w:r>
      <w:r w:rsidRPr="002379F3">
        <w:t>On the Impossibility of Informationally Efficient Markets</w:t>
      </w:r>
      <w:r>
        <w:t xml:space="preserve">,” </w:t>
      </w:r>
      <w:r w:rsidRPr="002379F3">
        <w:rPr>
          <w:i/>
        </w:rPr>
        <w:t>American Economic Review</w:t>
      </w:r>
      <w:r>
        <w:t xml:space="preserve"> 70 no. 3 (June 1980), 393-408. </w:t>
      </w:r>
    </w:p>
    <w:p w:rsidR="00127D52" w:rsidRPr="001407B6" w:rsidRDefault="00127D52" w:rsidP="006A5CC9">
      <w:pPr>
        <w:pStyle w:val="BodyText"/>
        <w:ind w:left="720" w:hanging="720"/>
      </w:pPr>
      <w:r w:rsidRPr="001407B6">
        <w:t xml:space="preserve">Harris, Larry (2003), </w:t>
      </w:r>
      <w:r w:rsidRPr="001407B6">
        <w:rPr>
          <w:i/>
        </w:rPr>
        <w:t>Trading and Exchanges: Market Microstructure for Practitioners</w:t>
      </w:r>
      <w:r w:rsidRPr="001407B6">
        <w:t xml:space="preserve">, Chapter 11, “Order Anticipators”, Oxford University Press, </w:t>
      </w:r>
      <w:proofErr w:type="gramStart"/>
      <w:r w:rsidRPr="001407B6">
        <w:t>643pp</w:t>
      </w:r>
      <w:proofErr w:type="gramEnd"/>
      <w:r w:rsidRPr="001407B6">
        <w:t xml:space="preserve">.  </w:t>
      </w:r>
    </w:p>
    <w:p w:rsidR="00127D52" w:rsidRPr="00127D52" w:rsidRDefault="00127D52" w:rsidP="006A5CC9">
      <w:pPr>
        <w:pStyle w:val="BodyText"/>
        <w:ind w:left="720" w:hanging="720"/>
      </w:pPr>
      <w:r w:rsidRPr="00127D52">
        <w:t>Harris, Lawrence</w:t>
      </w:r>
      <w:r>
        <w:t xml:space="preserve"> (1990),</w:t>
      </w:r>
      <w:r w:rsidRPr="00127D52">
        <w:t xml:space="preserve"> “Estimation of Stock Price Variances and Serial </w:t>
      </w:r>
      <w:proofErr w:type="spellStart"/>
      <w:r w:rsidRPr="00127D52">
        <w:t>Covariances</w:t>
      </w:r>
      <w:proofErr w:type="spellEnd"/>
      <w:r w:rsidRPr="00127D52">
        <w:t xml:space="preserve"> from Discrete Observations,” </w:t>
      </w:r>
      <w:r w:rsidRPr="00127D52">
        <w:rPr>
          <w:i/>
        </w:rPr>
        <w:t>Journal of Financial and Quantitative Analysis</w:t>
      </w:r>
      <w:r w:rsidRPr="00127D52">
        <w:t xml:space="preserve"> v. 25 no. 3, Septemb</w:t>
      </w:r>
      <w:r>
        <w:t xml:space="preserve">er 1990, 291-306. </w:t>
      </w:r>
    </w:p>
    <w:p w:rsidR="00127D52" w:rsidRPr="00127D52" w:rsidRDefault="00127D52" w:rsidP="006A5CC9">
      <w:pPr>
        <w:pStyle w:val="BodyText"/>
        <w:ind w:left="720" w:hanging="720"/>
      </w:pPr>
      <w:r w:rsidRPr="00127D52">
        <w:t xml:space="preserve">Harris, Lawrence </w:t>
      </w:r>
      <w:r>
        <w:t xml:space="preserve">(1991), </w:t>
      </w:r>
      <w:r w:rsidRPr="00127D52">
        <w:t xml:space="preserve">“Stock Price Clustering and Discreteness,” </w:t>
      </w:r>
      <w:r w:rsidRPr="00127D52">
        <w:rPr>
          <w:i/>
        </w:rPr>
        <w:t>Review of Financial Studies</w:t>
      </w:r>
      <w:r w:rsidRPr="00127D52">
        <w:t xml:space="preserve"> v. 4 no. 3, 1991, 389-415. </w:t>
      </w:r>
    </w:p>
    <w:p w:rsidR="00127D52" w:rsidRPr="00127D52" w:rsidRDefault="00127D52" w:rsidP="006A5CC9">
      <w:pPr>
        <w:pStyle w:val="BodyText"/>
        <w:ind w:left="720" w:hanging="720"/>
      </w:pPr>
      <w:r w:rsidRPr="00127D52">
        <w:t xml:space="preserve">Harris, Lawrence </w:t>
      </w:r>
      <w:r>
        <w:t xml:space="preserve">(1994), </w:t>
      </w:r>
      <w:r w:rsidRPr="00127D52">
        <w:t xml:space="preserve">“Minimum Price Variations, Discrete Bid/Ask Spreads and Quotation Sizes,” </w:t>
      </w:r>
      <w:r w:rsidRPr="00127D52">
        <w:rPr>
          <w:i/>
        </w:rPr>
        <w:t>Review of Financial Studies</w:t>
      </w:r>
      <w:r w:rsidRPr="00127D52">
        <w:t xml:space="preserve"> v. 7, no. 1, 1994, 149-178. </w:t>
      </w:r>
    </w:p>
    <w:p w:rsidR="002379F3" w:rsidRPr="002379F3" w:rsidRDefault="002379F3" w:rsidP="006A5CC9">
      <w:pPr>
        <w:pStyle w:val="BodyText"/>
        <w:ind w:left="720" w:hanging="720"/>
      </w:pPr>
      <w:r>
        <w:t xml:space="preserve">Kyle, Albert S. (1985), “Continuous Auctions and Insider Trading,” </w:t>
      </w:r>
      <w:proofErr w:type="spellStart"/>
      <w:r>
        <w:rPr>
          <w:i/>
        </w:rPr>
        <w:t>Econometrica</w:t>
      </w:r>
      <w:proofErr w:type="spellEnd"/>
      <w:r>
        <w:rPr>
          <w:i/>
        </w:rPr>
        <w:t xml:space="preserve"> </w:t>
      </w:r>
      <w:r>
        <w:t xml:space="preserve">53 n 6 (November 2005), p. 1315-1335. </w:t>
      </w:r>
    </w:p>
    <w:p w:rsidR="0005790A" w:rsidRDefault="0005790A" w:rsidP="006A5CC9">
      <w:pPr>
        <w:pStyle w:val="BodyText"/>
        <w:ind w:left="720" w:hanging="720"/>
      </w:pPr>
      <w:r>
        <w:t>Lee, Charles M. C. and Mark J. Ready (1991), “</w:t>
      </w:r>
      <w:r w:rsidRPr="0005790A">
        <w:t>Inferring Trade Direction from Intraday Data</w:t>
      </w:r>
      <w:r>
        <w:t xml:space="preserve">,” </w:t>
      </w:r>
      <w:r w:rsidRPr="0005790A">
        <w:rPr>
          <w:i/>
        </w:rPr>
        <w:t>Journal of Finance</w:t>
      </w:r>
      <w:r>
        <w:t xml:space="preserve"> 46, no 2 (June 1991), 733–746.</w:t>
      </w:r>
    </w:p>
    <w:p w:rsidR="00127D52" w:rsidRPr="00802280" w:rsidRDefault="00127D52" w:rsidP="006A5CC9">
      <w:pPr>
        <w:pStyle w:val="BodyText"/>
        <w:ind w:left="720" w:hanging="720"/>
      </w:pPr>
      <w:proofErr w:type="spellStart"/>
      <w:proofErr w:type="gramStart"/>
      <w:r w:rsidRPr="00802280">
        <w:t>Lutat</w:t>
      </w:r>
      <w:proofErr w:type="spellEnd"/>
      <w:r w:rsidRPr="00802280">
        <w:t xml:space="preserve">, Marco </w:t>
      </w:r>
      <w:r>
        <w:t>(2010), “</w:t>
      </w:r>
      <w:r w:rsidRPr="00802280">
        <w:t>The Effect of Maker-Taker Pricing on Market Liquidity in Electronic Trading Systems – Empirical Evidence from European Equity Trading</w:t>
      </w:r>
      <w:r>
        <w:t>”</w:t>
      </w:r>
      <w:r w:rsidRPr="00802280">
        <w:t xml:space="preserve"> (January 1, 2010).</w:t>
      </w:r>
      <w:proofErr w:type="gramEnd"/>
      <w:r w:rsidRPr="00802280">
        <w:t xml:space="preserve"> Available at SSRN: http://ssrn.com/abstract=1752843 or </w:t>
      </w:r>
      <w:hyperlink r:id="rId15" w:history="1">
        <w:r w:rsidRPr="00802280">
          <w:t>http://dx.doi.org/10.2139/ssrn.1752843</w:t>
        </w:r>
      </w:hyperlink>
      <w:r>
        <w:t>.</w:t>
      </w:r>
    </w:p>
    <w:p w:rsidR="00127D52" w:rsidRDefault="00127D52" w:rsidP="006A5CC9">
      <w:pPr>
        <w:pStyle w:val="BodyText"/>
        <w:ind w:left="720" w:hanging="720"/>
      </w:pPr>
      <w:proofErr w:type="spellStart"/>
      <w:r w:rsidRPr="00E0791B">
        <w:t>Malinova</w:t>
      </w:r>
      <w:proofErr w:type="spellEnd"/>
      <w:r w:rsidRPr="00E0791B">
        <w:t>, Katya and Andreas Park</w:t>
      </w:r>
      <w:r>
        <w:t xml:space="preserve"> (2011), “</w:t>
      </w:r>
      <w:r w:rsidRPr="00E0791B">
        <w:t>Subsidizing Liquidity: The Impact of Make/Take Fees on Market Quality</w:t>
      </w:r>
      <w:r>
        <w:t>”</w:t>
      </w:r>
      <w:r w:rsidRPr="00E0791B">
        <w:t xml:space="preserve"> (November 23, 2011). Available at SSRN: http://ssrn.com/abstract=1823600 or </w:t>
      </w:r>
      <w:hyperlink r:id="rId16" w:history="1">
        <w:r w:rsidRPr="00802280">
          <w:t>http://dx.doi.org/10.2139/ssrn.1823600</w:t>
        </w:r>
      </w:hyperlink>
      <w:r>
        <w:t>.</w:t>
      </w:r>
    </w:p>
    <w:p w:rsidR="00127D52" w:rsidRDefault="00127D52" w:rsidP="006A5CC9">
      <w:pPr>
        <w:pStyle w:val="BodyText"/>
        <w:ind w:left="720" w:hanging="720"/>
      </w:pPr>
      <w:r>
        <w:t xml:space="preserve">Schumer, Senator Charles E. (2012), “Schumer to SEC:  Reform ‘Maker – Taker’ System by Requiring Broker Rebates to Go to Investors,” Press Release and Letter to SEC Chairman Mary Schapiro, May 10, 2012 at </w:t>
      </w:r>
      <w:hyperlink r:id="rId17" w:history="1">
        <w:r w:rsidRPr="00127D52">
          <w:t>http://www.schumer.senate.gov/Newsroom/record.cfm?id=336748</w:t>
        </w:r>
      </w:hyperlink>
    </w:p>
    <w:p w:rsidR="00127D52" w:rsidRDefault="00127D52" w:rsidP="006A5CC9">
      <w:pPr>
        <w:pStyle w:val="BodyText"/>
        <w:ind w:left="720" w:hanging="720"/>
        <w:rPr>
          <w:color w:val="000000"/>
          <w:sz w:val="23"/>
          <w:szCs w:val="23"/>
        </w:rPr>
      </w:pPr>
      <w:r>
        <w:rPr>
          <w:color w:val="000000"/>
          <w:sz w:val="23"/>
          <w:szCs w:val="23"/>
        </w:rPr>
        <w:t xml:space="preserve">Security and Exchange Commission (1978), Securities Exchange Act Release No. 14661, “Plan for the Purpose of Creating and Operating an </w:t>
      </w:r>
      <w:proofErr w:type="spellStart"/>
      <w:r>
        <w:rPr>
          <w:color w:val="000000"/>
          <w:sz w:val="23"/>
          <w:szCs w:val="23"/>
        </w:rPr>
        <w:t>Intermarket</w:t>
      </w:r>
      <w:proofErr w:type="spellEnd"/>
      <w:r>
        <w:rPr>
          <w:color w:val="000000"/>
          <w:sz w:val="23"/>
          <w:szCs w:val="23"/>
        </w:rPr>
        <w:t xml:space="preserve"> Communications Linkage Pursuant to Section 11A(c</w:t>
      </w:r>
      <w:proofErr w:type="gramStart"/>
      <w:r>
        <w:rPr>
          <w:color w:val="000000"/>
          <w:sz w:val="23"/>
          <w:szCs w:val="23"/>
        </w:rPr>
        <w:t>)(</w:t>
      </w:r>
      <w:proofErr w:type="gramEnd"/>
      <w:r>
        <w:rPr>
          <w:color w:val="000000"/>
          <w:sz w:val="23"/>
          <w:szCs w:val="23"/>
        </w:rPr>
        <w:t xml:space="preserve">3)(B) of the Securities Exchange Act of 1934,” Apr. 14, 1978, 43 FR 17419 (Apr. 24, 1978). </w:t>
      </w:r>
    </w:p>
    <w:p w:rsidR="00127D52" w:rsidRDefault="00127D52" w:rsidP="006A5CC9">
      <w:pPr>
        <w:pStyle w:val="BodyText"/>
        <w:ind w:left="720" w:hanging="720"/>
      </w:pPr>
      <w:proofErr w:type="spellStart"/>
      <w:r w:rsidRPr="00E0791B">
        <w:t>Skjeltorp</w:t>
      </w:r>
      <w:proofErr w:type="spellEnd"/>
      <w:r w:rsidRPr="00E0791B">
        <w:t xml:space="preserve">, Johannes </w:t>
      </w:r>
      <w:proofErr w:type="spellStart"/>
      <w:r w:rsidRPr="00E0791B">
        <w:t>Atle</w:t>
      </w:r>
      <w:proofErr w:type="spellEnd"/>
      <w:r w:rsidRPr="00E0791B">
        <w:t xml:space="preserve">, Elvira </w:t>
      </w:r>
      <w:proofErr w:type="spellStart"/>
      <w:r w:rsidRPr="00E0791B">
        <w:t>Sojli</w:t>
      </w:r>
      <w:proofErr w:type="spellEnd"/>
      <w:r w:rsidRPr="00E0791B">
        <w:t xml:space="preserve">, and Wing </w:t>
      </w:r>
      <w:proofErr w:type="spellStart"/>
      <w:r w:rsidRPr="00E0791B">
        <w:t>Wah</w:t>
      </w:r>
      <w:proofErr w:type="spellEnd"/>
      <w:r w:rsidRPr="00E0791B">
        <w:t xml:space="preserve"> </w:t>
      </w:r>
      <w:proofErr w:type="spellStart"/>
      <w:r w:rsidRPr="00E0791B">
        <w:t>Tham</w:t>
      </w:r>
      <w:proofErr w:type="spellEnd"/>
      <w:r>
        <w:t xml:space="preserve"> (2013), “</w:t>
      </w:r>
      <w:r w:rsidRPr="00E0791B">
        <w:t>Identifying Cross-Sided Liquidity Externalities (June 11, 2012). Asian Finance Association (</w:t>
      </w:r>
      <w:proofErr w:type="spellStart"/>
      <w:r w:rsidRPr="00E0791B">
        <w:t>AsFA</w:t>
      </w:r>
      <w:proofErr w:type="spellEnd"/>
      <w:r w:rsidRPr="00E0791B">
        <w:t xml:space="preserve">) 2013 Conference; </w:t>
      </w:r>
      <w:proofErr w:type="spellStart"/>
      <w:r w:rsidRPr="00E0791B">
        <w:t>Norges</w:t>
      </w:r>
      <w:proofErr w:type="spellEnd"/>
      <w:r w:rsidRPr="00E0791B">
        <w:t xml:space="preserve"> Bank Working Paper 2012-20. Available at SSRN: http://ssrn.com/abstract=2026593 or </w:t>
      </w:r>
      <w:hyperlink r:id="rId18" w:history="1">
        <w:r w:rsidRPr="00802280">
          <w:t>http://dx.doi.org/10.2139/ssrn.2026593</w:t>
        </w:r>
      </w:hyperlink>
      <w:r>
        <w:t>.</w:t>
      </w:r>
    </w:p>
    <w:p w:rsidR="001407B6" w:rsidRDefault="001407B6" w:rsidP="008E3804">
      <w:pPr>
        <w:pStyle w:val="BodyText"/>
      </w:pPr>
    </w:p>
    <w:p w:rsidR="00A278E7" w:rsidRDefault="0022583E" w:rsidP="008E3804">
      <w:pPr>
        <w:pStyle w:val="BodyText"/>
      </w:pPr>
      <w:r>
        <w:br w:type="page"/>
      </w:r>
    </w:p>
    <w:p w:rsidR="00CA1A48" w:rsidRDefault="00D95C20" w:rsidP="007F6986">
      <w:r>
        <w:rPr>
          <w:noProof/>
        </w:rPr>
        <w:drawing>
          <wp:inline distT="0" distB="0" distL="0" distR="0" wp14:anchorId="4862F633" wp14:editId="178BED27">
            <wp:extent cx="5486400" cy="36576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82D3B" w:rsidRDefault="00E82D3B" w:rsidP="007F6986"/>
    <w:p w:rsidR="00E82D3B" w:rsidRDefault="00E82D3B" w:rsidP="007F6986">
      <w:r w:rsidRPr="0098544C">
        <w:rPr>
          <w:b/>
        </w:rPr>
        <w:t xml:space="preserve">Figure 1:  </w:t>
      </w:r>
      <w:r>
        <w:t xml:space="preserve">Illustration of derivation of </w:t>
      </w:r>
      <w:r w:rsidR="000F08A6">
        <w:t xml:space="preserve">unadjusted </w:t>
      </w:r>
      <w:r>
        <w:t xml:space="preserve">value </w:t>
      </w:r>
      <w:r w:rsidR="000F08A6">
        <w:t xml:space="preserve">estimate </w:t>
      </w:r>
      <w:r w:rsidR="00742E2E">
        <w:t xml:space="preserve">of 1.7 </w:t>
      </w:r>
      <w:r>
        <w:t xml:space="preserve">when the market quote is 1 bid for 4, 16 offered at 2. </w:t>
      </w:r>
    </w:p>
    <w:p w:rsidR="00742E2E" w:rsidRDefault="00742E2E" w:rsidP="007F6986"/>
    <w:p w:rsidR="00742E2E" w:rsidRDefault="00742E2E" w:rsidP="007F6986">
      <w:r>
        <w:rPr>
          <w:noProof/>
        </w:rPr>
        <w:drawing>
          <wp:inline distT="0" distB="0" distL="0" distR="0" wp14:anchorId="6E15B6D9" wp14:editId="5214A030">
            <wp:extent cx="5478158" cy="3657600"/>
            <wp:effectExtent l="0" t="0" r="825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42E2E" w:rsidRDefault="00742E2E" w:rsidP="00742E2E">
      <w:pPr>
        <w:rPr>
          <w:rFonts w:cstheme="minorHAnsi"/>
        </w:rPr>
      </w:pPr>
      <w:r w:rsidRPr="0098544C">
        <w:rPr>
          <w:b/>
        </w:rPr>
        <w:t xml:space="preserve">Figure 2:  </w:t>
      </w:r>
      <w:r>
        <w:t xml:space="preserve">Illustration of derivation of </w:t>
      </w:r>
      <w:r w:rsidR="000F08A6">
        <w:t xml:space="preserve">adjusted </w:t>
      </w:r>
      <w:r>
        <w:t xml:space="preserve">value </w:t>
      </w:r>
      <w:r w:rsidR="000F08A6">
        <w:t xml:space="preserve">estimate </w:t>
      </w:r>
      <w:r>
        <w:t xml:space="preserve">when the market quote is 1 bid for 4, 16 offered at 2.  The dashed line shows the </w:t>
      </w:r>
      <w:proofErr w:type="gramStart"/>
      <w:r>
        <w:t xml:space="preserve">derivation based on net bid and </w:t>
      </w:r>
      <w:r w:rsidR="00725735">
        <w:t>ask</w:t>
      </w:r>
      <w:proofErr w:type="gramEnd"/>
      <w:r w:rsidR="00725735">
        <w:t xml:space="preserve"> </w:t>
      </w:r>
      <w:r>
        <w:t xml:space="preserve">prices that include </w:t>
      </w:r>
      <w:r w:rsidR="00BE3B67">
        <w:t>a 0.3</w:t>
      </w:r>
      <w:r w:rsidR="000B4069">
        <w:rPr>
          <w:rFonts w:cstheme="minorHAnsi"/>
        </w:rPr>
        <w:t xml:space="preserve">¢ </w:t>
      </w:r>
      <w:r w:rsidR="00BE3B67">
        <w:rPr>
          <w:rFonts w:cstheme="minorHAnsi"/>
        </w:rPr>
        <w:t xml:space="preserve">maker-taker </w:t>
      </w:r>
      <w:r w:rsidR="006353B9">
        <w:rPr>
          <w:rFonts w:cstheme="minorHAnsi"/>
        </w:rPr>
        <w:t xml:space="preserve">access </w:t>
      </w:r>
      <w:r w:rsidR="00BE3B67">
        <w:rPr>
          <w:rFonts w:cstheme="minorHAnsi"/>
        </w:rPr>
        <w:t xml:space="preserve">fee or </w:t>
      </w:r>
      <w:r w:rsidR="006353B9">
        <w:rPr>
          <w:rFonts w:cstheme="minorHAnsi"/>
        </w:rPr>
        <w:t xml:space="preserve">liquidity </w:t>
      </w:r>
      <w:r w:rsidR="00BE3B67">
        <w:rPr>
          <w:rFonts w:cstheme="minorHAnsi"/>
        </w:rPr>
        <w:t xml:space="preserve">rebate.  The solid line presents the derivation based only on the quoted prices.  </w:t>
      </w:r>
      <w:r w:rsidR="000B4069">
        <w:rPr>
          <w:rFonts w:cstheme="minorHAnsi"/>
        </w:rPr>
        <w:t>It is identical to the line presented in Figure 1.  Accounting for the fee</w:t>
      </w:r>
      <w:r w:rsidR="00446F08">
        <w:rPr>
          <w:rFonts w:cstheme="minorHAnsi"/>
        </w:rPr>
        <w:t>s paid and rebated</w:t>
      </w:r>
      <w:r w:rsidR="000B4069">
        <w:rPr>
          <w:rFonts w:cstheme="minorHAnsi"/>
        </w:rPr>
        <w:t xml:space="preserve"> increases the </w:t>
      </w:r>
      <w:r w:rsidR="000F08A6">
        <w:rPr>
          <w:rFonts w:cstheme="minorHAnsi"/>
        </w:rPr>
        <w:t xml:space="preserve">estimated </w:t>
      </w:r>
      <w:r w:rsidR="000B4069">
        <w:rPr>
          <w:rFonts w:cstheme="minorHAnsi"/>
        </w:rPr>
        <w:t xml:space="preserve">value from 1.7¢ to 1.82¢.  </w:t>
      </w:r>
    </w:p>
    <w:p w:rsidR="000F08A6" w:rsidRDefault="000F08A6" w:rsidP="00742E2E">
      <w:r>
        <w:rPr>
          <w:rFonts w:cstheme="minorHAnsi"/>
        </w:rPr>
        <w:br w:type="page"/>
      </w:r>
      <w:r>
        <w:rPr>
          <w:noProof/>
        </w:rPr>
        <w:drawing>
          <wp:inline distT="0" distB="0" distL="0" distR="0" wp14:anchorId="7C5226ED" wp14:editId="76AC5BF6">
            <wp:extent cx="5529407" cy="36576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C0A15" w:rsidRDefault="00DC0A15" w:rsidP="00DC0A15">
      <w:r w:rsidRPr="0098544C">
        <w:rPr>
          <w:b/>
        </w:rPr>
        <w:t xml:space="preserve">Figure </w:t>
      </w:r>
      <w:r w:rsidR="000B4F6E" w:rsidRPr="0098544C">
        <w:rPr>
          <w:b/>
        </w:rPr>
        <w:t>3</w:t>
      </w:r>
      <w:r w:rsidRPr="0098544C">
        <w:rPr>
          <w:b/>
        </w:rPr>
        <w:t xml:space="preserve">:  </w:t>
      </w:r>
      <w:r>
        <w:t xml:space="preserve">Illustration of equal adjusted value estimates obtained from two adjacent markets.  The first market (represented by the dashed lines on the left), is 1 bid, offered at 2 with large size at the bid and small size at </w:t>
      </w:r>
      <w:proofErr w:type="gramStart"/>
      <w:r>
        <w:t>the ask</w:t>
      </w:r>
      <w:proofErr w:type="gramEnd"/>
      <w:r>
        <w:t xml:space="preserve">.  The second market (dotted lines on the right), is </w:t>
      </w:r>
      <w:r w:rsidR="000B4F6E">
        <w:t>2</w:t>
      </w:r>
      <w:r>
        <w:t xml:space="preserve"> bid, offered at </w:t>
      </w:r>
      <w:r w:rsidR="000B4F6E">
        <w:t>3</w:t>
      </w:r>
      <w:r>
        <w:t xml:space="preserve"> with </w:t>
      </w:r>
      <w:r w:rsidR="000B4F6E">
        <w:t xml:space="preserve">small </w:t>
      </w:r>
      <w:r>
        <w:t xml:space="preserve">size at the bid and </w:t>
      </w:r>
      <w:r w:rsidR="000B4F6E">
        <w:t xml:space="preserve">large </w:t>
      </w:r>
      <w:r>
        <w:t xml:space="preserve">size at </w:t>
      </w:r>
      <w:proofErr w:type="gramStart"/>
      <w:r>
        <w:t>the ask</w:t>
      </w:r>
      <w:proofErr w:type="gramEnd"/>
      <w:r>
        <w:t xml:space="preserve">.  </w:t>
      </w:r>
      <w:r w:rsidR="000B4F6E">
        <w:t>These adjusted value estimates account for maker-taker access fees paid and rebates received of 0.3</w:t>
      </w:r>
      <w:r w:rsidR="000B4F6E">
        <w:rPr>
          <w:rFonts w:cstheme="minorHAnsi"/>
        </w:rPr>
        <w:t>¢</w:t>
      </w:r>
      <w:r w:rsidR="000B4F6E">
        <w:t xml:space="preserve">. </w:t>
      </w:r>
    </w:p>
    <w:p w:rsidR="00E41619" w:rsidRDefault="00E41619" w:rsidP="00D42C57">
      <w:r>
        <w:br w:type="page"/>
      </w:r>
      <w:r>
        <w:rPr>
          <w:noProof/>
        </w:rPr>
        <w:drawing>
          <wp:inline distT="0" distB="0" distL="0" distR="0" wp14:anchorId="4D50F4F6" wp14:editId="35D2604D">
            <wp:extent cx="5941620" cy="6309360"/>
            <wp:effectExtent l="0" t="0" r="2540" b="0"/>
            <wp:docPr id="2" name="Picture 2" descr="C:\Users\lharris\AppData\Local\Microsoft\Windows\Temporary Internet Files\Content.Word\Sim Fee 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arris\AppData\Local\Microsoft\Windows\Temporary Internet Files\Content.Word\Sim Fee 0.0.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1620" cy="6309360"/>
                    </a:xfrm>
                    <a:prstGeom prst="rect">
                      <a:avLst/>
                    </a:prstGeom>
                    <a:noFill/>
                    <a:ln>
                      <a:noFill/>
                    </a:ln>
                  </pic:spPr>
                </pic:pic>
              </a:graphicData>
            </a:graphic>
          </wp:inline>
        </w:drawing>
      </w:r>
    </w:p>
    <w:p w:rsidR="00CC1CF1" w:rsidRDefault="00CC1CF1" w:rsidP="00CC1CF1">
      <w:r w:rsidRPr="0098544C">
        <w:rPr>
          <w:b/>
        </w:rPr>
        <w:t xml:space="preserve">Figure </w:t>
      </w:r>
      <w:r w:rsidR="00E65D27" w:rsidRPr="0098544C">
        <w:rPr>
          <w:b/>
        </w:rPr>
        <w:t>4</w:t>
      </w:r>
      <w:r w:rsidR="00A52633" w:rsidRPr="0098544C">
        <w:rPr>
          <w:b/>
        </w:rPr>
        <w:t>, Panel A</w:t>
      </w:r>
      <w:r w:rsidRPr="0098544C">
        <w:rPr>
          <w:b/>
        </w:rPr>
        <w:t xml:space="preserve">:  </w:t>
      </w:r>
      <w:r>
        <w:t xml:space="preserve">Contour plot of the bivariate frequency distribution of </w:t>
      </w:r>
      <m:oMath>
        <m:r>
          <m:rPr>
            <m:sty m:val="p"/>
          </m:rPr>
          <w:rPr>
            <w:rFonts w:ascii="Cambria Math" w:hAnsi="Cambria Math"/>
          </w:rPr>
          <m:t>mod</m:t>
        </m:r>
        <m:r>
          <w:rPr>
            <w:rFonts w:ascii="Cambria Math" w:hAnsi="Cambria Math"/>
          </w:rPr>
          <m:t>(V,1¢)</m:t>
        </m:r>
      </m:oMath>
      <w:r>
        <w:t xml:space="preserve"> and lag </w:t>
      </w:r>
      <m:oMath>
        <m:r>
          <m:rPr>
            <m:sty m:val="p"/>
          </m:rPr>
          <w:rPr>
            <w:rFonts w:ascii="Cambria Math" w:hAnsi="Cambria Math"/>
          </w:rPr>
          <m:t>mod</m:t>
        </m:r>
        <m:r>
          <w:rPr>
            <w:rFonts w:ascii="Cambria Math" w:hAnsi="Cambria Math"/>
          </w:rPr>
          <m:t>(V,1¢)</m:t>
        </m:r>
      </m:oMath>
      <w:r>
        <w:t xml:space="preserve"> where </w:t>
      </w:r>
      <m:oMath>
        <m:r>
          <w:rPr>
            <w:rFonts w:ascii="Cambria Math" w:hAnsi="Cambria Math"/>
          </w:rPr>
          <m:t>V</m:t>
        </m:r>
      </m:oMath>
      <w:proofErr w:type="gramStart"/>
      <w:r>
        <w:t xml:space="preserve"> is a simulated random w</w:t>
      </w:r>
      <w:r w:rsidR="00C01C7C">
        <w:t>alk</w:t>
      </w:r>
      <w:proofErr w:type="gramEnd"/>
      <w:r w:rsidR="00C01C7C">
        <w:t xml:space="preserve"> </w:t>
      </w:r>
      <w:r>
        <w:t>with normally distributed innovations having a standard deviation of 0.1</w:t>
      </w:r>
      <w:r w:rsidR="006353B9">
        <w:rPr>
          <w:rFonts w:cstheme="minorHAnsi"/>
        </w:rPr>
        <w:t>¢</w:t>
      </w:r>
      <w:r>
        <w:t xml:space="preserve">.  The simulation plots frequencies for </w:t>
      </w:r>
      <w:r w:rsidR="00E65D27">
        <w:t>100 million simulated observations sorted into a total of 441=21</w:t>
      </w:r>
      <w:r w:rsidR="00E65D27">
        <w:sym w:font="Symbol" w:char="F0B4"/>
      </w:r>
      <w:r w:rsidR="00E65D27">
        <w:t xml:space="preserve">21 discrete cells. </w:t>
      </w:r>
      <w:r>
        <w:t xml:space="preserve"> </w:t>
      </w:r>
      <w:r w:rsidR="00E65D27">
        <w:t xml:space="preserve">The greatest mass </w:t>
      </w:r>
      <w:r w:rsidR="00A02F3B">
        <w:t xml:space="preserve">in </w:t>
      </w:r>
      <w:r w:rsidR="00E65D27">
        <w:t xml:space="preserve">the distribution lies along the blank diagonal in the center and in the upper left and the lower right corners.  </w:t>
      </w:r>
      <w:r w:rsidR="00E83FAF" w:rsidRPr="00B85214">
        <w:rPr>
          <w:vanish/>
        </w:rPr>
        <w:t>&lt;&lt;update this and the next plot to use the new code that does not impose missing value in the middle&gt;&gt;</w:t>
      </w:r>
    </w:p>
    <w:p w:rsidR="00E41619" w:rsidRDefault="00E41619" w:rsidP="00CE3D1C">
      <w:r>
        <w:br w:type="page"/>
      </w:r>
      <w:r>
        <w:rPr>
          <w:noProof/>
        </w:rPr>
        <w:drawing>
          <wp:inline distT="0" distB="0" distL="0" distR="0" wp14:anchorId="62C54921" wp14:editId="45936B0D">
            <wp:extent cx="5943600" cy="5935982"/>
            <wp:effectExtent l="0" t="0" r="0" b="7620"/>
            <wp:docPr id="4" name="Picture 4" descr="C:\Users\lharris\AppData\Local\Microsoft\Windows\Temporary Internet Files\Content.Word\Sim Fee 0.0 4x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harris\AppData\Local\Microsoft\Windows\Temporary Internet Files\Content.Word\Sim Fee 0.0 4x4.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43600" cy="5935982"/>
                    </a:xfrm>
                    <a:prstGeom prst="rect">
                      <a:avLst/>
                    </a:prstGeom>
                    <a:noFill/>
                    <a:ln>
                      <a:noFill/>
                    </a:ln>
                  </pic:spPr>
                </pic:pic>
              </a:graphicData>
            </a:graphic>
          </wp:inline>
        </w:drawing>
      </w:r>
    </w:p>
    <w:p w:rsidR="00E65D27" w:rsidRDefault="00E65D27" w:rsidP="00E65D27"/>
    <w:p w:rsidR="00A52633" w:rsidRDefault="00E65D27" w:rsidP="00E65D27">
      <w:r w:rsidRPr="0098544C">
        <w:rPr>
          <w:b/>
        </w:rPr>
        <w:t xml:space="preserve">Figure </w:t>
      </w:r>
      <w:r w:rsidR="00075746" w:rsidRPr="0098544C">
        <w:rPr>
          <w:b/>
        </w:rPr>
        <w:t>4</w:t>
      </w:r>
      <w:r w:rsidR="00A52633" w:rsidRPr="0098544C">
        <w:rPr>
          <w:b/>
        </w:rPr>
        <w:t>, Panel B</w:t>
      </w:r>
      <w:r w:rsidRPr="0098544C">
        <w:rPr>
          <w:b/>
        </w:rPr>
        <w:t xml:space="preserve">:  </w:t>
      </w:r>
      <w:r w:rsidR="00A52633">
        <w:t>A 2</w:t>
      </w:r>
      <w:r w:rsidR="00A52633">
        <w:sym w:font="Symbol" w:char="F0B4"/>
      </w:r>
      <w:r w:rsidR="00A52633">
        <w:t xml:space="preserve">2 tiling of the contour plot presented in Panel A. </w:t>
      </w:r>
    </w:p>
    <w:p w:rsidR="00CF5CA7" w:rsidRDefault="00075746" w:rsidP="00CF5CA7">
      <w:pPr>
        <w:adjustRightInd w:val="0"/>
        <w:jc w:val="center"/>
      </w:pPr>
      <w:r>
        <w:br w:type="page"/>
      </w:r>
      <w:bookmarkStart w:id="16" w:name="IDX"/>
      <w:bookmarkEnd w:id="16"/>
      <w:r w:rsidR="003C01B8">
        <w:rPr>
          <w:noProof/>
        </w:rPr>
        <w:drawing>
          <wp:inline distT="0" distB="0" distL="0" distR="0" wp14:anchorId="437EB96C" wp14:editId="6F9C4D0E">
            <wp:extent cx="5943600" cy="5943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rsidR="00CE3D1C" w:rsidRDefault="0002141C" w:rsidP="00CE3D1C">
      <w:r w:rsidRPr="0098544C">
        <w:rPr>
          <w:b/>
          <w:noProof/>
        </w:rPr>
        <w:drawing>
          <wp:anchor distT="0" distB="0" distL="114300" distR="114300" simplePos="0" relativeHeight="251662336" behindDoc="0" locked="0" layoutInCell="1" allowOverlap="1" wp14:anchorId="5A4516B5" wp14:editId="27850B13">
            <wp:simplePos x="0" y="0"/>
            <wp:positionH relativeFrom="column">
              <wp:posOffset>758825</wp:posOffset>
            </wp:positionH>
            <wp:positionV relativeFrom="paragraph">
              <wp:posOffset>-5786120</wp:posOffset>
            </wp:positionV>
            <wp:extent cx="5157216" cy="4928616"/>
            <wp:effectExtent l="0" t="0" r="5715" b="5715"/>
            <wp:wrapNone/>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57216" cy="4928616"/>
                    </a:xfrm>
                    <a:prstGeom prst="rect">
                      <a:avLst/>
                    </a:prstGeom>
                    <a:noFill/>
                    <a:ln>
                      <a:noFill/>
                    </a:ln>
                  </pic:spPr>
                </pic:pic>
              </a:graphicData>
            </a:graphic>
            <wp14:sizeRelH relativeFrom="page">
              <wp14:pctWidth>0</wp14:pctWidth>
            </wp14:sizeRelH>
            <wp14:sizeRelV relativeFrom="page">
              <wp14:pctHeight>0</wp14:pctHeight>
            </wp14:sizeRelV>
          </wp:anchor>
        </w:drawing>
      </w:r>
      <w:r w:rsidR="00583B90" w:rsidRPr="0098544C">
        <w:rPr>
          <w:b/>
        </w:rPr>
        <w:t>Figure 5</w:t>
      </w:r>
      <w:r w:rsidR="00C93417" w:rsidRPr="0098544C">
        <w:rPr>
          <w:b/>
        </w:rPr>
        <w:t>, Panel A</w:t>
      </w:r>
      <w:r w:rsidR="00583B90" w:rsidRPr="0098544C">
        <w:rPr>
          <w:b/>
        </w:rPr>
        <w:t xml:space="preserve">:  </w:t>
      </w:r>
      <w:r w:rsidR="00583B90">
        <w:t xml:space="preserve">Contour plot of the </w:t>
      </w:r>
      <w:r w:rsidR="00745313">
        <w:t xml:space="preserve">simulated </w:t>
      </w:r>
      <w:r w:rsidR="00583B90">
        <w:t xml:space="preserve">bivariate </w:t>
      </w:r>
      <w:r w:rsidR="00527A70">
        <w:t xml:space="preserve">sub-penny </w:t>
      </w:r>
      <w:r w:rsidR="00583B90">
        <w:t xml:space="preserve">frequency distribution </w:t>
      </w:r>
      <w:r w:rsidR="00397675">
        <w:t xml:space="preserve">of </w:t>
      </w:r>
      <w:r w:rsidR="00CE3D1C">
        <w:t xml:space="preserve">the current and lagged </w:t>
      </w:r>
      <w:r w:rsidR="003935AC">
        <w:t xml:space="preserve">unadjusted </w:t>
      </w:r>
      <w:r w:rsidR="00025A33">
        <w:t xml:space="preserve">true value </w:t>
      </w:r>
      <w:r w:rsidR="00CE3D1C">
        <w:t xml:space="preserve">estimates </w:t>
      </w:r>
      <w:r w:rsidR="00025A33">
        <w:t xml:space="preserve">that would be obtained if the </w:t>
      </w:r>
      <w:r w:rsidR="00575441">
        <w:t xml:space="preserve">access </w:t>
      </w:r>
      <w:r w:rsidR="00025A33">
        <w:t xml:space="preserve">fee </w:t>
      </w:r>
      <w:r w:rsidR="00575441">
        <w:t xml:space="preserve">and liquidity rebate </w:t>
      </w:r>
      <w:r w:rsidR="00025A33">
        <w:t>were 0.275</w:t>
      </w:r>
      <w:r w:rsidR="00025A33">
        <w:rPr>
          <w:rFonts w:cstheme="minorHAnsi"/>
        </w:rPr>
        <w:t>¢</w:t>
      </w:r>
      <w:r w:rsidR="003935AC">
        <w:t xml:space="preserve">.  </w:t>
      </w:r>
      <w:r w:rsidR="00745313">
        <w:t>Simulated t</w:t>
      </w:r>
      <w:r w:rsidR="003935AC">
        <w:t xml:space="preserve">rue </w:t>
      </w:r>
      <w:r w:rsidR="00025A33">
        <w:t xml:space="preserve">value </w:t>
      </w:r>
      <w:r w:rsidR="00745313">
        <w:t xml:space="preserve">follows a </w:t>
      </w:r>
      <w:r w:rsidR="00583B90">
        <w:t xml:space="preserve">random </w:t>
      </w:r>
      <w:r w:rsidR="00025A33">
        <w:t xml:space="preserve">walk </w:t>
      </w:r>
      <w:r w:rsidR="00583B90">
        <w:t xml:space="preserve">with normally distributed innovations </w:t>
      </w:r>
      <w:r w:rsidR="00745313">
        <w:t xml:space="preserve">have </w:t>
      </w:r>
      <w:r w:rsidR="00583B90">
        <w:t>a standard deviation of 0</w:t>
      </w:r>
      <w:r w:rsidR="00D57523">
        <w:t>.1</w:t>
      </w:r>
      <w:r w:rsidR="00025A33">
        <w:rPr>
          <w:rFonts w:cstheme="minorHAnsi"/>
        </w:rPr>
        <w:t>¢</w:t>
      </w:r>
      <w:r w:rsidR="00583B90">
        <w:t xml:space="preserve">.  </w:t>
      </w:r>
      <w:r w:rsidR="003935AC">
        <w:t>The simulation assumes that the bid-ask spread is 1</w:t>
      </w:r>
      <w:r w:rsidR="003935AC">
        <w:rPr>
          <w:rFonts w:cstheme="minorHAnsi"/>
        </w:rPr>
        <w:t>¢</w:t>
      </w:r>
      <w:r w:rsidR="003935AC">
        <w:t xml:space="preserve"> and that the quotes increase if true value rises above </w:t>
      </w:r>
      <m:oMath>
        <m:r>
          <w:rPr>
            <w:rFonts w:ascii="Cambria Math" w:hAnsi="Cambria Math"/>
          </w:rPr>
          <m:t>Ask+c</m:t>
        </m:r>
      </m:oMath>
      <w:r w:rsidR="003935AC">
        <w:t xml:space="preserve"> and falls if true value drops below </w:t>
      </w:r>
      <m:oMath>
        <m:r>
          <w:rPr>
            <w:rFonts w:ascii="Cambria Math" w:hAnsi="Cambria Math"/>
          </w:rPr>
          <m:t>Bid-c</m:t>
        </m:r>
      </m:oMath>
      <w:r w:rsidR="003935AC">
        <w:t xml:space="preserve">.  The bid and </w:t>
      </w:r>
      <w:r w:rsidR="00725735">
        <w:t>ask</w:t>
      </w:r>
      <w:r w:rsidR="003935AC">
        <w:t xml:space="preserve"> quote sizes are set so that the adjusted </w:t>
      </w:r>
      <w:r w:rsidR="00CE3D1C">
        <w:t xml:space="preserve">true value </w:t>
      </w:r>
      <w:r w:rsidR="003935AC">
        <w:t xml:space="preserve">estimate is </w:t>
      </w:r>
      <w:r w:rsidR="00CE3D1C">
        <w:t xml:space="preserve">always </w:t>
      </w:r>
      <w:r w:rsidR="003935AC">
        <w:t xml:space="preserve">equal to true value. </w:t>
      </w:r>
      <w:r w:rsidR="006353B9">
        <w:t xml:space="preserve"> </w:t>
      </w:r>
      <w:r w:rsidR="00583B90">
        <w:t xml:space="preserve">The plot </w:t>
      </w:r>
      <w:r w:rsidR="00CE3D1C">
        <w:t xml:space="preserve">represents </w:t>
      </w:r>
      <w:r w:rsidR="00583B90">
        <w:t>frequencies for 100 million simulated observations sorted into 441=21</w:t>
      </w:r>
      <w:r w:rsidR="00583B90">
        <w:sym w:font="Symbol" w:char="F0B4"/>
      </w:r>
      <w:r w:rsidR="00583B90">
        <w:t xml:space="preserve">21 discrete cells.  The greatest mass of the distribution lies </w:t>
      </w:r>
      <w:r w:rsidR="00025A33">
        <w:t xml:space="preserve">inside the oval </w:t>
      </w:r>
      <w:r w:rsidR="00583B90">
        <w:t xml:space="preserve">in the center and </w:t>
      </w:r>
      <w:r w:rsidR="006353B9">
        <w:t xml:space="preserve">to a much lesser extent </w:t>
      </w:r>
      <w:r w:rsidR="00583B90">
        <w:t xml:space="preserve">in the </w:t>
      </w:r>
      <w:r w:rsidR="00025A33">
        <w:t xml:space="preserve">two bulges </w:t>
      </w:r>
      <w:r w:rsidR="00745313">
        <w:t>on the left and right</w:t>
      </w:r>
      <w:r w:rsidR="00583B90">
        <w:t xml:space="preserve">.  </w:t>
      </w:r>
      <w:r w:rsidR="002A26EC">
        <w:t xml:space="preserve">Overlaid on the plot is a 4x4 grid with four cells marked “T” for test and “C” for control.  </w:t>
      </w:r>
      <w:r w:rsidR="00745313">
        <w:t>A</w:t>
      </w:r>
      <w:r w:rsidR="002A26EC">
        <w:t xml:space="preserve">symmetry in the </w:t>
      </w:r>
      <w:r w:rsidR="00745313">
        <w:t xml:space="preserve">distribution </w:t>
      </w:r>
      <w:r w:rsidR="002A26EC">
        <w:t xml:space="preserve">can be tested by contrasting the frequencies in the test regions to those in the control regions. </w:t>
      </w:r>
    </w:p>
    <w:p w:rsidR="00C93417" w:rsidRDefault="00CE3D1C" w:rsidP="00CE3D1C">
      <w:r>
        <w:br w:type="page"/>
      </w:r>
      <w:r w:rsidR="008814F1">
        <w:rPr>
          <w:noProof/>
        </w:rPr>
        <w:drawing>
          <wp:anchor distT="0" distB="0" distL="114300" distR="114300" simplePos="0" relativeHeight="251658240" behindDoc="0" locked="0" layoutInCell="1" allowOverlap="1" wp14:anchorId="3606B244" wp14:editId="39F1B6CA">
            <wp:simplePos x="0" y="0"/>
            <wp:positionH relativeFrom="column">
              <wp:posOffset>0</wp:posOffset>
            </wp:positionH>
            <wp:positionV relativeFrom="paragraph">
              <wp:posOffset>0</wp:posOffset>
            </wp:positionV>
            <wp:extent cx="3429000" cy="8229600"/>
            <wp:effectExtent l="0" t="0" r="0" b="0"/>
            <wp:wrapSquare wrapText="r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29000" cy="822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0D01" w:rsidRDefault="00C93417" w:rsidP="00CE3D1C">
      <w:r w:rsidRPr="0098544C">
        <w:rPr>
          <w:b/>
        </w:rPr>
        <w:t xml:space="preserve">Figure 5, Panel B:  </w:t>
      </w:r>
      <w:r w:rsidR="002B3385">
        <w:t>A</w:t>
      </w:r>
      <w:r>
        <w:t xml:space="preserve"> contour plot </w:t>
      </w:r>
      <w:r w:rsidR="002B3385">
        <w:t xml:space="preserve">of the same data presented in Panel </w:t>
      </w:r>
      <w:r w:rsidR="00397675">
        <w:t>A</w:t>
      </w:r>
      <w:r w:rsidR="002B3385">
        <w:t xml:space="preserve"> </w:t>
      </w:r>
      <w:r>
        <w:t xml:space="preserve">in which the horizontal axis plots the sub-penny from which the value changed </w:t>
      </w:r>
      <w:r w:rsidR="00745313">
        <w:t xml:space="preserve">(as before) </w:t>
      </w:r>
      <w:r>
        <w:t>and the vertical axis plots the current value estimate minus the integer of its lagged value</w:t>
      </w:r>
      <w:r w:rsidR="002B3385">
        <w:t xml:space="preserve">.  </w:t>
      </w:r>
      <w:r>
        <w:t xml:space="preserve">This figure has three regions.  The middle region consists of value and lagged value estimates obtained from the same market.  The upper and lower panels respectively consist of value estimates obtained from a market one tick higher and one tick lower </w:t>
      </w:r>
      <w:r w:rsidR="00A624CF">
        <w:t xml:space="preserve">than </w:t>
      </w:r>
      <w:bookmarkStart w:id="17" w:name="K1"/>
      <w:bookmarkEnd w:id="17"/>
      <w:r>
        <w:t xml:space="preserve">the previous value estimate.  The center region shows the oval distribution while the upper and lower regions show where the budges came from.  The bivariate distribution </w:t>
      </w:r>
      <w:r w:rsidR="00012807">
        <w:t xml:space="preserve">in Panel A </w:t>
      </w:r>
      <w:r>
        <w:t>is composed of the sums of the densities in these three regions.</w:t>
      </w:r>
    </w:p>
    <w:p w:rsidR="00A80D01" w:rsidRDefault="00A80D01" w:rsidP="00A80D01">
      <w:pPr>
        <w:pStyle w:val="BodyText"/>
      </w:pPr>
      <w:r>
        <w:br w:type="page"/>
      </w:r>
      <w:r w:rsidR="0047488E">
        <w:rPr>
          <w:noProof/>
        </w:rPr>
        <w:drawing>
          <wp:inline distT="0" distB="0" distL="0" distR="0" wp14:anchorId="08FE464B" wp14:editId="1DDB55BC">
            <wp:extent cx="5943600" cy="5943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r w:rsidR="000F7CD4" w:rsidRPr="0098544C">
        <w:rPr>
          <w:b/>
        </w:rPr>
        <w:t>Figure 6</w:t>
      </w:r>
      <w:r w:rsidR="003C01B8" w:rsidRPr="0098544C">
        <w:rPr>
          <w:b/>
        </w:rPr>
        <w:t xml:space="preserve">:  </w:t>
      </w:r>
      <w:r w:rsidR="003C01B8">
        <w:t xml:space="preserve">Relation between trade initiator and sub-penny of the unadjusted value estimate in markets with 1¢ spreads.  All </w:t>
      </w:r>
      <w:r>
        <w:t xml:space="preserve">trades that </w:t>
      </w:r>
      <w:r w:rsidR="003F45AE">
        <w:t xml:space="preserve">occurred </w:t>
      </w:r>
      <w:r>
        <w:t xml:space="preserve">in one-tick markets </w:t>
      </w:r>
      <w:r w:rsidR="003F45AE">
        <w:t xml:space="preserve">are identified </w:t>
      </w:r>
      <w:r>
        <w:t xml:space="preserve">by their price in relation to the bid and </w:t>
      </w:r>
      <w:r w:rsidR="00725735">
        <w:t>ask</w:t>
      </w:r>
      <w:r>
        <w:t xml:space="preserve"> that </w:t>
      </w:r>
      <w:r w:rsidR="003F45AE">
        <w:t xml:space="preserve">stood </w:t>
      </w:r>
      <w:r>
        <w:t>at least one second before the trade</w:t>
      </w:r>
      <w:r w:rsidR="008814F1">
        <w:t xml:space="preserve"> based on the </w:t>
      </w:r>
      <w:r>
        <w:t xml:space="preserve">continuous indicator variable </w:t>
      </w:r>
      <m:oMath>
        <m:r>
          <w:rPr>
            <w:rFonts w:ascii="Cambria Math" w:hAnsi="Cambria Math"/>
          </w:rPr>
          <m:t>Q</m:t>
        </m:r>
      </m:oMath>
      <w:r>
        <w:t xml:space="preserve"> where </w:t>
      </w:r>
      <m:oMath>
        <m:r>
          <w:rPr>
            <w:rFonts w:ascii="Cambria Math" w:hAnsi="Cambria Math"/>
          </w:rPr>
          <m:t>Q=2</m:t>
        </m:r>
        <m:f>
          <m:fPr>
            <m:ctrlPr>
              <w:rPr>
                <w:rFonts w:ascii="Cambria Math" w:hAnsi="Cambria Math"/>
                <w:i/>
              </w:rPr>
            </m:ctrlPr>
          </m:fPr>
          <m:num>
            <m:r>
              <w:rPr>
                <w:rFonts w:ascii="Cambria Math" w:hAnsi="Cambria Math"/>
              </w:rPr>
              <m:t>TradePrice-Bid</m:t>
            </m:r>
          </m:num>
          <m:den>
            <m:r>
              <w:rPr>
                <w:rFonts w:ascii="Cambria Math" w:hAnsi="Cambria Math"/>
              </w:rPr>
              <m:t>Ask-Bid</m:t>
            </m:r>
          </m:den>
        </m:f>
        <m:r>
          <w:rPr>
            <w:rFonts w:ascii="Cambria Math" w:hAnsi="Cambria Math"/>
          </w:rPr>
          <m:t>-1</m:t>
        </m:r>
      </m:oMath>
      <w:r w:rsidR="00A624CF">
        <w:t xml:space="preserve"> </w:t>
      </w:r>
      <w:r>
        <w:t xml:space="preserve">takes the value of 1 if the trade took place at the ask and -1 if it took place at the bid. </w:t>
      </w:r>
      <w:r w:rsidR="008814F1">
        <w:t xml:space="preserve"> This figure plots the average </w:t>
      </w:r>
      <m:oMath>
        <m:r>
          <w:rPr>
            <w:rFonts w:ascii="Cambria Math" w:hAnsi="Cambria Math"/>
          </w:rPr>
          <m:t>Q</m:t>
        </m:r>
      </m:oMath>
      <w:r w:rsidR="009C4E3A">
        <w:t xml:space="preserve"> within 20 equally spaced regions of the </w:t>
      </w:r>
      <w:r w:rsidR="0047488E">
        <w:t xml:space="preserve">associated </w:t>
      </w:r>
      <w:r w:rsidR="009C4E3A">
        <w:t>value estimate sub-pennies.</w:t>
      </w:r>
      <w:r w:rsidR="0047488E">
        <w:t xml:space="preserve">  The averages are first computed for each security and the results are then averaged across securities using average dollar trade volume weights. </w:t>
      </w:r>
    </w:p>
    <w:p w:rsidR="00BE7287" w:rsidRDefault="0047488E" w:rsidP="00A80D01">
      <w:pPr>
        <w:pStyle w:val="BodyText"/>
      </w:pPr>
      <w:r>
        <w:br w:type="page"/>
      </w:r>
      <w:r w:rsidR="00BE7287">
        <w:rPr>
          <w:noProof/>
        </w:rPr>
        <w:drawing>
          <wp:inline distT="0" distB="0" distL="0" distR="0" wp14:anchorId="0274C067" wp14:editId="5405DE3F">
            <wp:extent cx="5943600" cy="3657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3657600"/>
                    </a:xfrm>
                    <a:prstGeom prst="rect">
                      <a:avLst/>
                    </a:prstGeom>
                    <a:noFill/>
                    <a:ln>
                      <a:noFill/>
                    </a:ln>
                  </pic:spPr>
                </pic:pic>
              </a:graphicData>
            </a:graphic>
          </wp:inline>
        </w:drawing>
      </w:r>
    </w:p>
    <w:p w:rsidR="00BE7287" w:rsidRDefault="0047488E" w:rsidP="00A80D01">
      <w:pPr>
        <w:pStyle w:val="BodyText"/>
      </w:pPr>
      <w:r w:rsidRPr="0098544C">
        <w:rPr>
          <w:b/>
        </w:rPr>
        <w:t>Figure 7</w:t>
      </w:r>
      <w:r w:rsidR="00E83FAF" w:rsidRPr="00B85214">
        <w:rPr>
          <w:b/>
          <w:vanish/>
        </w:rPr>
        <w:t xml:space="preserve">, </w:t>
      </w:r>
      <w:r w:rsidR="00E0704A" w:rsidRPr="00B85214">
        <w:rPr>
          <w:b/>
          <w:vanish/>
        </w:rPr>
        <w:t>Panel</w:t>
      </w:r>
      <w:r w:rsidR="00E83FAF" w:rsidRPr="00B85214">
        <w:rPr>
          <w:b/>
          <w:vanish/>
        </w:rPr>
        <w:t xml:space="preserve"> </w:t>
      </w:r>
      <w:r w:rsidR="00E0704A" w:rsidRPr="00B85214">
        <w:rPr>
          <w:b/>
          <w:vanish/>
        </w:rPr>
        <w:t>A</w:t>
      </w:r>
      <w:r w:rsidR="00E83FAF" w:rsidRPr="0098544C">
        <w:rPr>
          <w:b/>
        </w:rPr>
        <w:t xml:space="preserve">: </w:t>
      </w:r>
      <w:r w:rsidR="00E0704A" w:rsidRPr="0098544C">
        <w:rPr>
          <w:b/>
        </w:rPr>
        <w:t xml:space="preserve"> </w:t>
      </w:r>
      <w:r>
        <w:t xml:space="preserve">Serial correlation of the trade initiator indicator </w:t>
      </w:r>
      <m:oMath>
        <m:r>
          <w:rPr>
            <w:rFonts w:ascii="Cambria Math" w:hAnsi="Cambria Math"/>
          </w:rPr>
          <m:t>Q=2</m:t>
        </m:r>
        <m:f>
          <m:fPr>
            <m:ctrlPr>
              <w:rPr>
                <w:rFonts w:ascii="Cambria Math" w:hAnsi="Cambria Math"/>
                <w:i/>
              </w:rPr>
            </m:ctrlPr>
          </m:fPr>
          <m:num>
            <m:r>
              <w:rPr>
                <w:rFonts w:ascii="Cambria Math" w:hAnsi="Cambria Math"/>
              </w:rPr>
              <m:t>TradePrice-Bid</m:t>
            </m:r>
          </m:num>
          <m:den>
            <m:r>
              <w:rPr>
                <w:rFonts w:ascii="Cambria Math" w:hAnsi="Cambria Math"/>
              </w:rPr>
              <m:t>Ask-Bid</m:t>
            </m:r>
          </m:den>
        </m:f>
        <m:r>
          <w:rPr>
            <w:rFonts w:ascii="Cambria Math" w:hAnsi="Cambria Math"/>
          </w:rPr>
          <m:t>-1</m:t>
        </m:r>
      </m:oMath>
      <w:r w:rsidR="00BE7287">
        <w:t xml:space="preserve"> </w:t>
      </w:r>
    </w:p>
    <w:p w:rsidR="0047488E" w:rsidRDefault="00BE7287" w:rsidP="00A80D01">
      <w:pPr>
        <w:pStyle w:val="BodyText"/>
      </w:pPr>
      <w:proofErr w:type="gramStart"/>
      <w:r>
        <w:t>for</w:t>
      </w:r>
      <w:proofErr w:type="gramEnd"/>
      <w:r>
        <w:t xml:space="preserve"> all trades regardless of the size</w:t>
      </w:r>
      <w:r w:rsidR="001F594E">
        <w:t>s</w:t>
      </w:r>
      <w:r>
        <w:t xml:space="preserve"> of their associated bid-ask spreads</w:t>
      </w:r>
      <w:r w:rsidR="0047488E">
        <w:t>.  The correlations are first computed for each security and the results are then averaged across securities using average dollar trade volume weights.</w:t>
      </w:r>
    </w:p>
    <w:p w:rsidR="00E0704A" w:rsidRDefault="00E0704A" w:rsidP="00CE3D1C"/>
    <w:p w:rsidR="00BE7287" w:rsidRDefault="00E83FAF" w:rsidP="00CE3D1C">
      <w:r w:rsidRPr="00B85214">
        <w:rPr>
          <w:vanish/>
        </w:rPr>
        <w:t>&lt;&lt;</w:t>
      </w:r>
      <w:r w:rsidR="00E0704A" w:rsidRPr="00B85214">
        <w:rPr>
          <w:vanish/>
        </w:rPr>
        <w:t>Panel B:  High price stocks</w:t>
      </w:r>
      <w:r w:rsidRPr="00B85214">
        <w:rPr>
          <w:vanish/>
        </w:rPr>
        <w:t>&gt;&gt;</w:t>
      </w:r>
      <w:r w:rsidR="00BE7287">
        <w:br w:type="page"/>
      </w:r>
      <w:r w:rsidR="007032B4">
        <w:rPr>
          <w:noProof/>
        </w:rPr>
        <w:drawing>
          <wp:inline distT="0" distB="0" distL="0" distR="0" wp14:anchorId="002C04E3" wp14:editId="33C43575">
            <wp:extent cx="5943600" cy="5943600"/>
            <wp:effectExtent l="0" t="0" r="0" b="0"/>
            <wp:docPr id="12" name="Picture 12" descr="N:\My Documents\d\Research\TickSize\ODS Plots\univ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y Documents\d\Research\TickSize\ODS Plots\univar.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rsidR="00C150FC" w:rsidRDefault="00C150FC" w:rsidP="00CE3D1C">
      <w:r w:rsidRPr="0098544C">
        <w:rPr>
          <w:b/>
        </w:rPr>
        <w:t xml:space="preserve">Figure 8, Panel A:  </w:t>
      </w:r>
      <w:r w:rsidR="003B1472">
        <w:t xml:space="preserve">Histogram of adjusted value estimate sub-pennies observed in markets with one-tick (1¢) spreads.  The horizontal line is the level </w:t>
      </w:r>
      <w:r>
        <w:t xml:space="preserve">that would be expected </w:t>
      </w:r>
      <w:r w:rsidR="003B1472">
        <w:t>if the data were uniformly distributed.  The dashed vertical lines are placed at approximately 0.355¢ and 0.645¢.  Between these lines, the</w:t>
      </w:r>
      <w:r>
        <w:t xml:space="preserve">ory predicts that the distribution should be uniform.  </w:t>
      </w:r>
    </w:p>
    <w:p w:rsidR="00C150FC" w:rsidRDefault="00C150FC" w:rsidP="00CE3D1C">
      <w:r>
        <w:br w:type="page"/>
      </w:r>
      <w:r w:rsidR="00110486">
        <w:rPr>
          <w:noProof/>
        </w:rPr>
        <w:drawing>
          <wp:inline distT="0" distB="0" distL="0" distR="0" wp14:anchorId="09439DCE" wp14:editId="0209909A">
            <wp:extent cx="5943600" cy="5943600"/>
            <wp:effectExtent l="0" t="0" r="0" b="0"/>
            <wp:docPr id="20" name="Picture 20" descr="N:\My Documents\d\Research\TickSize\ODS Plots\univ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My Documents\d\Research\TickSize\ODS Plots\univar1.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rsidR="00C150FC" w:rsidRDefault="00C150FC" w:rsidP="00CE3D1C">
      <w:r w:rsidRPr="0098544C">
        <w:rPr>
          <w:b/>
        </w:rPr>
        <w:t xml:space="preserve">Figure 8, Panel B:  </w:t>
      </w:r>
      <w:r>
        <w:t>Probability-probability plot</w:t>
      </w:r>
      <w:r w:rsidR="00D148E0">
        <w:t xml:space="preserve"> o</w:t>
      </w:r>
      <w:r w:rsidR="000638CC">
        <w:t xml:space="preserve">f the unadjusted value estimate distribution that appears in Panel A.  The points would plot on the diagonal line if the data were uniformly distributed. </w:t>
      </w:r>
    </w:p>
    <w:p w:rsidR="000638CC" w:rsidRDefault="000638CC" w:rsidP="000638CC">
      <w:r>
        <w:br w:type="page"/>
      </w:r>
      <w:r w:rsidR="007032B4">
        <w:rPr>
          <w:noProof/>
        </w:rPr>
        <w:drawing>
          <wp:inline distT="0" distB="0" distL="0" distR="0" wp14:anchorId="43FD103A" wp14:editId="5E646853">
            <wp:extent cx="5943600" cy="5943600"/>
            <wp:effectExtent l="0" t="0" r="0" b="0"/>
            <wp:docPr id="15" name="Picture 15" descr="N:\My Documents\d\Research\TickSize\ODS Plots\univa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My Documents\d\Research\TickSize\ODS Plots\univar2.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rsidR="000638CC" w:rsidRDefault="000638CC" w:rsidP="000638CC">
      <w:r w:rsidRPr="0098544C">
        <w:rPr>
          <w:b/>
        </w:rPr>
        <w:t xml:space="preserve">Figure 9, Panel A:  </w:t>
      </w:r>
      <w:r>
        <w:t xml:space="preserve">Histogram of unadjusted value estimate sub-pennies observed in markets with one-tick (1¢) spreads within the region 0.355¢ and 0.645¢ over which theory predicts that the distribution should be uniform.  The horizontal line is the level that would be expected if the data were uniformly distributed over this region.  </w:t>
      </w:r>
    </w:p>
    <w:p w:rsidR="000638CC" w:rsidRDefault="000638CC" w:rsidP="000638CC">
      <w:r>
        <w:br w:type="page"/>
      </w:r>
      <w:r w:rsidR="00110486">
        <w:rPr>
          <w:noProof/>
        </w:rPr>
        <w:drawing>
          <wp:inline distT="0" distB="0" distL="0" distR="0" wp14:anchorId="4D030E2B" wp14:editId="0943758B">
            <wp:extent cx="5943600" cy="5943600"/>
            <wp:effectExtent l="0" t="0" r="0" b="0"/>
            <wp:docPr id="21" name="Picture 21" descr="N:\My Documents\d\Research\TickSize\ODS Plots\univa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My Documents\d\Research\TickSize\ODS Plots\univar3.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rsidR="000638CC" w:rsidRDefault="000638CC" w:rsidP="000638CC">
      <w:r w:rsidRPr="0098544C">
        <w:rPr>
          <w:b/>
        </w:rPr>
        <w:t xml:space="preserve">Figure 9, Panel B:  </w:t>
      </w:r>
      <w:r>
        <w:t xml:space="preserve">Probability-probability plot of the unadjusted value estimate distribution that appears in Panel A.  The points would plot on the diagonal line if the data were uniformly distributed. </w:t>
      </w:r>
    </w:p>
    <w:p w:rsidR="006A6D92" w:rsidRDefault="000638CC" w:rsidP="000638CC">
      <w:r>
        <w:br w:type="page"/>
      </w:r>
      <w:r w:rsidR="006A6D92">
        <w:rPr>
          <w:noProof/>
        </w:rPr>
        <w:drawing>
          <wp:inline distT="0" distB="0" distL="0" distR="0" wp14:anchorId="7C011AE0" wp14:editId="51710B38">
            <wp:extent cx="5943600" cy="5943600"/>
            <wp:effectExtent l="0" t="0" r="0" b="0"/>
            <wp:docPr id="17" name="Picture 17" descr="N:\My Documents\d\Research\TickSize\ODS Plots\univ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My Documents\d\Research\TickSize\ODS Plots\univar.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rsidR="000638CC" w:rsidRDefault="000638CC" w:rsidP="000638CC">
      <w:r w:rsidRPr="0098544C">
        <w:rPr>
          <w:b/>
        </w:rPr>
        <w:t xml:space="preserve">Figure 10, Pane A:  </w:t>
      </w:r>
      <w:r>
        <w:t xml:space="preserve">Histogram of adjusted value estimate sub-pennies observed in markets with one-tick (1¢) spreads.  The horizontal line is the level that would be expected if the data were uniformly distributed over this region.  </w:t>
      </w:r>
    </w:p>
    <w:p w:rsidR="000638CC" w:rsidRDefault="000638CC" w:rsidP="000638CC">
      <w:r>
        <w:br w:type="page"/>
      </w:r>
      <w:r w:rsidR="00110486">
        <w:rPr>
          <w:noProof/>
        </w:rPr>
        <w:drawing>
          <wp:inline distT="0" distB="0" distL="0" distR="0" wp14:anchorId="78C84951" wp14:editId="36B1B0CC">
            <wp:extent cx="5943600" cy="5943600"/>
            <wp:effectExtent l="0" t="0" r="0" b="0"/>
            <wp:docPr id="19" name="Picture 19" descr="N:\My Documents\d\Research\TickSize\ODS Plots\univ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My Documents\d\Research\TickSize\ODS Plots\univar1.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rsidR="000638CC" w:rsidRDefault="000638CC" w:rsidP="000638CC">
      <w:r w:rsidRPr="0098544C">
        <w:rPr>
          <w:b/>
        </w:rPr>
        <w:t xml:space="preserve">Figure 10, Panel B:  </w:t>
      </w:r>
      <w:r>
        <w:t xml:space="preserve">Probability-probability plot of the adjusted value estimate distribution that appears in Panel A.  The points would plot on the diagonal line if the data were uniformly distributed. </w:t>
      </w:r>
    </w:p>
    <w:p w:rsidR="000638CC" w:rsidRDefault="00110486" w:rsidP="00CE3D1C">
      <w:r>
        <w:br w:type="page"/>
      </w:r>
      <w:r w:rsidR="005B58B4">
        <w:rPr>
          <w:noProof/>
        </w:rPr>
        <w:drawing>
          <wp:inline distT="0" distB="0" distL="0" distR="0" wp14:anchorId="59D84C10" wp14:editId="59EAE65D">
            <wp:extent cx="5943600" cy="5943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rsidR="00397675" w:rsidRDefault="00397675" w:rsidP="00397675">
      <w:r w:rsidRPr="0098544C">
        <w:rPr>
          <w:b/>
        </w:rPr>
        <w:t xml:space="preserve">Figure 11, Panel A:  </w:t>
      </w:r>
      <w:r>
        <w:t xml:space="preserve">Average contour plot of the bivariate sub-penny frequency distribution of the current and lagged unadjusted true value estimates.  The plot represents frequencies computed from </w:t>
      </w:r>
      <w:r w:rsidR="00FE4227" w:rsidRPr="00FE4227">
        <w:t>2</w:t>
      </w:r>
      <w:r w:rsidR="00FE4227">
        <w:t>,</w:t>
      </w:r>
      <w:r w:rsidR="00FE4227" w:rsidRPr="00FE4227">
        <w:t>052</w:t>
      </w:r>
      <w:r w:rsidR="00FE4227">
        <w:t>,</w:t>
      </w:r>
      <w:r w:rsidR="00FE4227" w:rsidRPr="00FE4227">
        <w:t xml:space="preserve">686 </w:t>
      </w:r>
      <w:r>
        <w:t>observations sorted into a total of 441=21</w:t>
      </w:r>
      <w:r>
        <w:sym w:font="Symbol" w:char="F0B4"/>
      </w:r>
      <w:r>
        <w:t xml:space="preserve">21 discrete cells.  The frequencies were computed by stock and then averaged across </w:t>
      </w:r>
      <w:r w:rsidR="00FE4227">
        <w:t xml:space="preserve">the 81 </w:t>
      </w:r>
      <w:r>
        <w:t xml:space="preserve">stocks </w:t>
      </w:r>
      <w:r w:rsidR="00FE4227">
        <w:t xml:space="preserve">in the sample </w:t>
      </w:r>
      <w:r>
        <w:t xml:space="preserve">weighting by average dollar trading volume.  </w:t>
      </w:r>
    </w:p>
    <w:p w:rsidR="00397675" w:rsidRDefault="00397675" w:rsidP="00397675">
      <w:r>
        <w:br w:type="page"/>
      </w:r>
      <w:r w:rsidR="005B58B4">
        <w:rPr>
          <w:noProof/>
        </w:rPr>
        <w:drawing>
          <wp:anchor distT="0" distB="0" distL="114300" distR="114300" simplePos="0" relativeHeight="251659264" behindDoc="0" locked="0" layoutInCell="1" allowOverlap="1" wp14:anchorId="239474D9" wp14:editId="1153745D">
            <wp:simplePos x="0" y="0"/>
            <wp:positionH relativeFrom="column">
              <wp:posOffset>0</wp:posOffset>
            </wp:positionH>
            <wp:positionV relativeFrom="paragraph">
              <wp:posOffset>0</wp:posOffset>
            </wp:positionV>
            <wp:extent cx="3438144" cy="8240863"/>
            <wp:effectExtent l="0" t="0" r="0" b="8255"/>
            <wp:wrapSquare wrapText="r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438144" cy="8240863"/>
                    </a:xfrm>
                    <a:prstGeom prst="rect">
                      <a:avLst/>
                    </a:prstGeom>
                    <a:noFill/>
                    <a:ln>
                      <a:noFill/>
                    </a:ln>
                  </pic:spPr>
                </pic:pic>
              </a:graphicData>
            </a:graphic>
            <wp14:sizeRelH relativeFrom="margin">
              <wp14:pctWidth>0</wp14:pctWidth>
            </wp14:sizeRelH>
          </wp:anchor>
        </w:drawing>
      </w:r>
    </w:p>
    <w:p w:rsidR="00397675" w:rsidRDefault="00397675" w:rsidP="00397675">
      <w:r w:rsidRPr="0098544C">
        <w:rPr>
          <w:b/>
        </w:rPr>
        <w:t xml:space="preserve">Figure 11, Panel B:  </w:t>
      </w:r>
      <w:r>
        <w:t xml:space="preserve">A contour plot of the same data presented in Panel A in which the horizontal axis plots the sub-penny from which the value changed </w:t>
      </w:r>
      <w:r w:rsidR="00A87F06">
        <w:t xml:space="preserve">(as before) </w:t>
      </w:r>
      <w:r>
        <w:t xml:space="preserve">and the vertical axis plots the current value estimate minus the integer of its lagged value.  </w:t>
      </w:r>
    </w:p>
    <w:p w:rsidR="00397675" w:rsidRDefault="00397675" w:rsidP="00397675">
      <w:r>
        <w:br w:type="page"/>
      </w:r>
      <w:r w:rsidR="00FE4227">
        <w:rPr>
          <w:noProof/>
        </w:rPr>
        <w:drawing>
          <wp:inline distT="0" distB="0" distL="0" distR="0" wp14:anchorId="49A3CADB" wp14:editId="2BAA20CE">
            <wp:extent cx="5943600" cy="5943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rsidR="00FE4227" w:rsidRDefault="00397675" w:rsidP="00397675">
      <w:r w:rsidRPr="0098544C">
        <w:rPr>
          <w:b/>
        </w:rPr>
        <w:t xml:space="preserve">Figure 12, Panel A:  </w:t>
      </w:r>
      <w:r>
        <w:t xml:space="preserve">Average contour plot of the bivariate sub-penny frequency distribution of the current and lagged adjusted true value estimates.  </w:t>
      </w:r>
      <w:r w:rsidR="00FE4227">
        <w:t xml:space="preserve">The plot represents frequencies computed from </w:t>
      </w:r>
      <w:r w:rsidR="00FE4227" w:rsidRPr="00FE4227">
        <w:t>2</w:t>
      </w:r>
      <w:r w:rsidR="00FE4227">
        <w:t>,</w:t>
      </w:r>
      <w:r w:rsidR="00FE4227" w:rsidRPr="00FE4227">
        <w:t>052</w:t>
      </w:r>
      <w:r w:rsidR="00FE4227">
        <w:t>,</w:t>
      </w:r>
      <w:r w:rsidR="00FE4227" w:rsidRPr="00FE4227">
        <w:t xml:space="preserve">686 </w:t>
      </w:r>
      <w:r w:rsidR="00FE4227">
        <w:t>observations sorted into a total of 441=21</w:t>
      </w:r>
      <w:r w:rsidR="00FE4227">
        <w:sym w:font="Symbol" w:char="F0B4"/>
      </w:r>
      <w:r w:rsidR="00FE4227">
        <w:t xml:space="preserve">21 discrete cells.  The frequencies were computed by stock and then averaged across the 81 stocks in the sample weighting by average dollar trading volume.  </w:t>
      </w:r>
    </w:p>
    <w:p w:rsidR="00397675" w:rsidRDefault="00397675" w:rsidP="00397675">
      <w:r>
        <w:br w:type="page"/>
      </w:r>
    </w:p>
    <w:p w:rsidR="00397675" w:rsidRDefault="00FE4227" w:rsidP="00397675">
      <w:r w:rsidRPr="0098544C">
        <w:rPr>
          <w:b/>
          <w:noProof/>
        </w:rPr>
        <w:drawing>
          <wp:anchor distT="0" distB="0" distL="114300" distR="114300" simplePos="0" relativeHeight="251660288" behindDoc="0" locked="0" layoutInCell="1" allowOverlap="1" wp14:anchorId="38B9523B" wp14:editId="389481A4">
            <wp:simplePos x="0" y="0"/>
            <wp:positionH relativeFrom="column">
              <wp:posOffset>0</wp:posOffset>
            </wp:positionH>
            <wp:positionV relativeFrom="paragraph">
              <wp:posOffset>-186055</wp:posOffset>
            </wp:positionV>
            <wp:extent cx="3429000" cy="822960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29000" cy="822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97675" w:rsidRPr="0098544C">
        <w:rPr>
          <w:b/>
        </w:rPr>
        <w:t xml:space="preserve">Figure 12, Panel B:  </w:t>
      </w:r>
      <w:r w:rsidR="00397675">
        <w:t xml:space="preserve">A contour plot of the same data presented in Panel A in which the horizontal axis plots the sub-penny from which the value changed </w:t>
      </w:r>
      <w:r w:rsidR="00A87F06">
        <w:t xml:space="preserve">(as before) </w:t>
      </w:r>
      <w:r w:rsidR="00397675">
        <w:t xml:space="preserve">and the vertical axis plots the current value estimate minus the integer of its lagged value.  </w:t>
      </w:r>
    </w:p>
    <w:p w:rsidR="007B32C3" w:rsidRDefault="00397675" w:rsidP="00397675">
      <w:r>
        <w:br w:type="page"/>
      </w:r>
    </w:p>
    <w:p w:rsidR="007B32C3" w:rsidRPr="0098544C" w:rsidRDefault="0054753A" w:rsidP="007B32C3">
      <w:pPr>
        <w:jc w:val="center"/>
        <w:rPr>
          <w:rFonts w:ascii="Calibri" w:hAnsi="Calibri" w:cs="Calibri"/>
          <w:b/>
          <w:bCs/>
          <w:color w:val="000000"/>
        </w:rPr>
      </w:pPr>
      <w:r w:rsidRPr="0098544C">
        <w:rPr>
          <w:rFonts w:ascii="Calibri" w:hAnsi="Calibri" w:cs="Calibri"/>
          <w:b/>
          <w:bCs/>
          <w:color w:val="000000"/>
        </w:rPr>
        <w:t xml:space="preserve">Table 1:  Sample </w:t>
      </w:r>
      <w:r>
        <w:rPr>
          <w:rFonts w:ascii="Calibri" w:hAnsi="Calibri" w:cs="Calibri"/>
          <w:b/>
          <w:bCs/>
          <w:color w:val="000000"/>
        </w:rPr>
        <w:t>S</w:t>
      </w:r>
      <w:r w:rsidRPr="0098544C">
        <w:rPr>
          <w:rFonts w:ascii="Calibri" w:hAnsi="Calibri" w:cs="Calibri"/>
          <w:b/>
          <w:bCs/>
          <w:color w:val="000000"/>
        </w:rPr>
        <w:t>tatistics</w:t>
      </w:r>
    </w:p>
    <w:p w:rsidR="007B32C3" w:rsidRDefault="007B32C3" w:rsidP="007B32C3"/>
    <w:p w:rsidR="007B32C3" w:rsidRDefault="007B32C3" w:rsidP="007B32C3">
      <w:r>
        <w:t xml:space="preserve">This table presents statistics that characterize the cross-sectional distribution of the 81 </w:t>
      </w:r>
      <w:r w:rsidR="00782E89">
        <w:t xml:space="preserve">US listed and </w:t>
      </w:r>
      <w:r w:rsidR="006A5CC9">
        <w:t>NASDAQ</w:t>
      </w:r>
      <w:r w:rsidR="00782E89">
        <w:t xml:space="preserve"> </w:t>
      </w:r>
      <w:r>
        <w:t xml:space="preserve">stocks that appear in the sample.  The sample period </w:t>
      </w:r>
      <w:r w:rsidR="0098544C">
        <w:t xml:space="preserve">includes the 10 trading days </w:t>
      </w:r>
      <w:r>
        <w:t xml:space="preserve">September </w:t>
      </w:r>
      <w:r w:rsidR="0098544C">
        <w:t>17</w:t>
      </w:r>
      <w:r>
        <w:t>-</w:t>
      </w:r>
      <w:r w:rsidR="0098544C">
        <w:t>28</w:t>
      </w:r>
      <w:r>
        <w:t>, 2012</w:t>
      </w:r>
      <w:r w:rsidR="00782E89">
        <w:t>, and it is restricted to quotes and trades that took place between 9:40 AM and 3:50 PM</w:t>
      </w:r>
      <w:r>
        <w:t>.  The sample includes all stocks for which the average bid was between $1 and $6, the fraction of bid price reported under $1 was less than 1%, the time-weighted frequency of quotes with one-tick (1¢) spreads was greater than 70%, and whose daily average trading volume in th</w:t>
      </w:r>
      <w:r w:rsidR="0098544C">
        <w:t xml:space="preserve">e sample </w:t>
      </w:r>
      <w:r>
        <w:t xml:space="preserve">period was greater than $1M.  </w:t>
      </w:r>
      <w:r w:rsidR="0098544C">
        <w:t xml:space="preserve">All reported statistics except for the daily average dollar volume have been computed by weighting by daily average dollar volume.  The quote data come from the Wharton WRDS NBBO database </w:t>
      </w:r>
      <w:r w:rsidR="005408F6">
        <w:t xml:space="preserve">which </w:t>
      </w:r>
      <w:r w:rsidR="0098544C">
        <w:t xml:space="preserve">is based upon the NYSE TAQ one-second quote database.  The trade data come from the NYSE TAQ trade reports. </w:t>
      </w:r>
      <w:r w:rsidR="004B5BF8">
        <w:t xml:space="preserve"> </w:t>
      </w:r>
      <w:r w:rsidR="0098544C">
        <w:t xml:space="preserve">The trading volumes, quote sizes and trade sizes are expressed in constant 2012 dollars. </w:t>
      </w:r>
      <w:r w:rsidR="00782E89">
        <w:t xml:space="preserve"> The total number of quotes in the sample is </w:t>
      </w:r>
      <w:r w:rsidR="00782E89" w:rsidRPr="00782E89">
        <w:t>2</w:t>
      </w:r>
      <w:r w:rsidR="00782E89">
        <w:t>,</w:t>
      </w:r>
      <w:r w:rsidR="00782E89" w:rsidRPr="00782E89">
        <w:t>170</w:t>
      </w:r>
      <w:r w:rsidR="00782E89">
        <w:t>,</w:t>
      </w:r>
      <w:r w:rsidR="00782E89" w:rsidRPr="00782E89">
        <w:t>181</w:t>
      </w:r>
      <w:r w:rsidR="00782E89">
        <w:t xml:space="preserve"> of which approximately </w:t>
      </w:r>
      <w:r w:rsidR="00782E89" w:rsidRPr="00782E89">
        <w:t>2</w:t>
      </w:r>
      <w:r w:rsidR="00782E89">
        <w:t>.</w:t>
      </w:r>
      <w:r w:rsidR="00782E89" w:rsidRPr="00782E89">
        <w:t>05</w:t>
      </w:r>
      <w:r w:rsidR="00782E89">
        <w:t xml:space="preserve">M had one-tick spreads. </w:t>
      </w:r>
      <w:r w:rsidR="004B5BF8">
        <w:t xml:space="preserve"> </w:t>
      </w:r>
      <w:r w:rsidR="00782E89">
        <w:t xml:space="preserve">The total number of trades in the sample is </w:t>
      </w:r>
      <w:r w:rsidR="00782E89" w:rsidRPr="00782E89">
        <w:t>1</w:t>
      </w:r>
      <w:r w:rsidR="00782E89">
        <w:t>,</w:t>
      </w:r>
      <w:r w:rsidR="00782E89" w:rsidRPr="00782E89">
        <w:t>587</w:t>
      </w:r>
      <w:r w:rsidR="00782E89">
        <w:t>,</w:t>
      </w:r>
      <w:r w:rsidR="00782E89" w:rsidRPr="00782E89">
        <w:t>785</w:t>
      </w:r>
      <w:r w:rsidR="00782E89">
        <w:t xml:space="preserve"> of which approximately 1.54M occurred in markets with one-tick spreads. </w:t>
      </w:r>
    </w:p>
    <w:p w:rsidR="0098544C" w:rsidRDefault="0098544C" w:rsidP="007B32C3"/>
    <w:tbl>
      <w:tblPr>
        <w:tblW w:w="0" w:type="auto"/>
        <w:tblInd w:w="80" w:type="dxa"/>
        <w:tblLayout w:type="fixed"/>
        <w:tblCellMar>
          <w:left w:w="0" w:type="dxa"/>
          <w:right w:w="0" w:type="dxa"/>
        </w:tblCellMar>
        <w:tblLook w:val="0000" w:firstRow="0" w:lastRow="0" w:firstColumn="0" w:lastColumn="0" w:noHBand="0" w:noVBand="0"/>
      </w:tblPr>
      <w:tblGrid>
        <w:gridCol w:w="2564"/>
        <w:gridCol w:w="741"/>
        <w:gridCol w:w="741"/>
        <w:gridCol w:w="741"/>
        <w:gridCol w:w="741"/>
        <w:gridCol w:w="891"/>
        <w:gridCol w:w="741"/>
        <w:gridCol w:w="844"/>
        <w:gridCol w:w="962"/>
      </w:tblGrid>
      <w:tr w:rsidR="007B32C3" w:rsidRPr="007B32C3" w:rsidTr="007B32C3">
        <w:trPr>
          <w:cantSplit/>
          <w:tblHeader/>
        </w:trPr>
        <w:tc>
          <w:tcPr>
            <w:tcW w:w="2564" w:type="dxa"/>
            <w:vMerge w:val="restart"/>
            <w:tcBorders>
              <w:top w:val="single" w:sz="4" w:space="0" w:color="auto"/>
              <w:left w:val="nil"/>
              <w:bottom w:val="single" w:sz="6" w:space="0" w:color="000000"/>
              <w:right w:val="nil"/>
            </w:tcBorders>
            <w:shd w:val="clear" w:color="auto" w:fill="FFFFFF"/>
            <w:tcMar>
              <w:left w:w="80" w:type="dxa"/>
              <w:right w:w="80" w:type="dxa"/>
            </w:tcMar>
            <w:vAlign w:val="center"/>
          </w:tcPr>
          <w:p w:rsidR="007B32C3" w:rsidRPr="007B32C3" w:rsidRDefault="007B32C3" w:rsidP="007B32C3">
            <w:pPr>
              <w:keepNext/>
              <w:autoSpaceDE w:val="0"/>
              <w:autoSpaceDN w:val="0"/>
              <w:adjustRightInd w:val="0"/>
              <w:spacing w:before="80" w:after="80"/>
              <w:jc w:val="center"/>
              <w:rPr>
                <w:rFonts w:ascii="Calibri" w:hAnsi="Calibri" w:cs="Calibri"/>
                <w:b/>
                <w:bCs/>
                <w:color w:val="000000"/>
                <w:sz w:val="22"/>
                <w:szCs w:val="22"/>
              </w:rPr>
            </w:pPr>
          </w:p>
        </w:tc>
        <w:tc>
          <w:tcPr>
            <w:tcW w:w="741" w:type="dxa"/>
            <w:vMerge w:val="restart"/>
            <w:tcBorders>
              <w:top w:val="single" w:sz="4" w:space="0" w:color="auto"/>
              <w:left w:val="nil"/>
              <w:bottom w:val="single" w:sz="6" w:space="0" w:color="000000"/>
              <w:right w:val="nil"/>
            </w:tcBorders>
            <w:shd w:val="clear" w:color="auto" w:fill="FFFFFF"/>
            <w:tcMar>
              <w:left w:w="80" w:type="dxa"/>
              <w:right w:w="80" w:type="dxa"/>
            </w:tcMar>
            <w:vAlign w:val="bottom"/>
          </w:tcPr>
          <w:p w:rsidR="007B32C3" w:rsidRPr="007B32C3" w:rsidRDefault="007B32C3" w:rsidP="007B32C3">
            <w:pPr>
              <w:keepNext/>
              <w:autoSpaceDE w:val="0"/>
              <w:autoSpaceDN w:val="0"/>
              <w:adjustRightInd w:val="0"/>
              <w:spacing w:before="80" w:after="80"/>
              <w:jc w:val="center"/>
              <w:rPr>
                <w:rFonts w:ascii="Calibri" w:hAnsi="Calibri" w:cs="Calibri"/>
                <w:b/>
                <w:bCs/>
                <w:color w:val="000000"/>
                <w:sz w:val="22"/>
                <w:szCs w:val="22"/>
              </w:rPr>
            </w:pPr>
            <w:r w:rsidRPr="007B32C3">
              <w:rPr>
                <w:rFonts w:ascii="Calibri" w:hAnsi="Calibri" w:cs="Calibri"/>
                <w:b/>
                <w:bCs/>
                <w:color w:val="000000"/>
                <w:sz w:val="22"/>
                <w:szCs w:val="22"/>
              </w:rPr>
              <w:t>Mean</w:t>
            </w:r>
          </w:p>
        </w:tc>
        <w:tc>
          <w:tcPr>
            <w:tcW w:w="5661" w:type="dxa"/>
            <w:gridSpan w:val="7"/>
            <w:tcBorders>
              <w:top w:val="single" w:sz="4" w:space="0" w:color="auto"/>
              <w:left w:val="nil"/>
              <w:bottom w:val="single" w:sz="4" w:space="0" w:color="auto"/>
              <w:right w:val="nil"/>
            </w:tcBorders>
            <w:shd w:val="clear" w:color="auto" w:fill="FFFFFF"/>
            <w:tcMar>
              <w:left w:w="80" w:type="dxa"/>
              <w:right w:w="80" w:type="dxa"/>
            </w:tcMar>
            <w:vAlign w:val="bottom"/>
          </w:tcPr>
          <w:p w:rsidR="007B32C3" w:rsidRPr="007B32C3" w:rsidRDefault="007B32C3" w:rsidP="007B32C3">
            <w:pPr>
              <w:keepNext/>
              <w:autoSpaceDE w:val="0"/>
              <w:autoSpaceDN w:val="0"/>
              <w:adjustRightInd w:val="0"/>
              <w:spacing w:before="80" w:after="80"/>
              <w:jc w:val="center"/>
              <w:rPr>
                <w:rFonts w:ascii="Calibri" w:hAnsi="Calibri" w:cs="Calibri"/>
                <w:b/>
                <w:bCs/>
                <w:color w:val="000000"/>
                <w:sz w:val="22"/>
                <w:szCs w:val="22"/>
              </w:rPr>
            </w:pPr>
            <w:r w:rsidRPr="007B32C3">
              <w:rPr>
                <w:rFonts w:ascii="Calibri" w:hAnsi="Calibri" w:cs="Calibri"/>
                <w:b/>
                <w:bCs/>
                <w:color w:val="000000"/>
                <w:sz w:val="22"/>
                <w:szCs w:val="22"/>
              </w:rPr>
              <w:t>Percentiles</w:t>
            </w:r>
          </w:p>
        </w:tc>
      </w:tr>
      <w:tr w:rsidR="007B32C3" w:rsidRPr="007B32C3" w:rsidTr="007B32C3">
        <w:trPr>
          <w:cantSplit/>
          <w:tblHeader/>
        </w:trPr>
        <w:tc>
          <w:tcPr>
            <w:tcW w:w="2564" w:type="dxa"/>
            <w:vMerge/>
            <w:tcBorders>
              <w:top w:val="single" w:sz="4" w:space="0" w:color="auto"/>
              <w:left w:val="nil"/>
              <w:bottom w:val="single" w:sz="6" w:space="0" w:color="000000"/>
              <w:right w:val="nil"/>
            </w:tcBorders>
            <w:shd w:val="clear" w:color="auto" w:fill="FFFFFF"/>
            <w:tcMar>
              <w:left w:w="80" w:type="dxa"/>
              <w:right w:w="80" w:type="dxa"/>
            </w:tcMar>
            <w:vAlign w:val="center"/>
          </w:tcPr>
          <w:p w:rsidR="007B32C3" w:rsidRPr="007B32C3" w:rsidRDefault="007B32C3" w:rsidP="007B32C3">
            <w:pPr>
              <w:keepNext/>
              <w:autoSpaceDE w:val="0"/>
              <w:autoSpaceDN w:val="0"/>
              <w:adjustRightInd w:val="0"/>
              <w:rPr>
                <w:rFonts w:ascii="Times New Roman" w:hAnsi="Times New Roman"/>
              </w:rPr>
            </w:pPr>
          </w:p>
        </w:tc>
        <w:tc>
          <w:tcPr>
            <w:tcW w:w="741" w:type="dxa"/>
            <w:vMerge/>
            <w:tcBorders>
              <w:top w:val="single" w:sz="4" w:space="0" w:color="auto"/>
              <w:left w:val="nil"/>
              <w:bottom w:val="single" w:sz="6" w:space="0" w:color="000000"/>
              <w:right w:val="nil"/>
            </w:tcBorders>
            <w:shd w:val="clear" w:color="auto" w:fill="FFFFFF"/>
            <w:tcMar>
              <w:left w:w="80" w:type="dxa"/>
              <w:right w:w="80" w:type="dxa"/>
            </w:tcMar>
            <w:vAlign w:val="bottom"/>
          </w:tcPr>
          <w:p w:rsidR="007B32C3" w:rsidRPr="007B32C3" w:rsidRDefault="007B32C3" w:rsidP="007B32C3">
            <w:pPr>
              <w:keepNext/>
              <w:autoSpaceDE w:val="0"/>
              <w:autoSpaceDN w:val="0"/>
              <w:adjustRightInd w:val="0"/>
              <w:rPr>
                <w:rFonts w:ascii="Times New Roman" w:hAnsi="Times New Roman"/>
              </w:rPr>
            </w:pPr>
          </w:p>
        </w:tc>
        <w:tc>
          <w:tcPr>
            <w:tcW w:w="741" w:type="dxa"/>
            <w:tcBorders>
              <w:top w:val="single" w:sz="4" w:space="0" w:color="auto"/>
              <w:left w:val="nil"/>
              <w:bottom w:val="single" w:sz="6" w:space="0" w:color="000000"/>
              <w:right w:val="nil"/>
            </w:tcBorders>
            <w:shd w:val="clear" w:color="auto" w:fill="FFFFFF"/>
            <w:tcMar>
              <w:left w:w="80" w:type="dxa"/>
              <w:right w:w="80" w:type="dxa"/>
            </w:tcMar>
            <w:vAlign w:val="bottom"/>
          </w:tcPr>
          <w:p w:rsidR="007B32C3" w:rsidRPr="007B32C3" w:rsidRDefault="007B32C3" w:rsidP="007B32C3">
            <w:pPr>
              <w:keepNext/>
              <w:autoSpaceDE w:val="0"/>
              <w:autoSpaceDN w:val="0"/>
              <w:adjustRightInd w:val="0"/>
              <w:spacing w:before="80" w:after="80"/>
              <w:jc w:val="center"/>
              <w:rPr>
                <w:rFonts w:ascii="Calibri" w:hAnsi="Calibri" w:cs="Calibri"/>
                <w:b/>
                <w:bCs/>
                <w:color w:val="000000"/>
                <w:sz w:val="22"/>
                <w:szCs w:val="22"/>
              </w:rPr>
            </w:pPr>
            <w:r w:rsidRPr="007B32C3">
              <w:rPr>
                <w:rFonts w:ascii="Calibri" w:hAnsi="Calibri" w:cs="Calibri"/>
                <w:b/>
                <w:bCs/>
                <w:color w:val="000000"/>
                <w:sz w:val="22"/>
                <w:szCs w:val="22"/>
              </w:rPr>
              <w:t>Min</w:t>
            </w:r>
          </w:p>
        </w:tc>
        <w:tc>
          <w:tcPr>
            <w:tcW w:w="741" w:type="dxa"/>
            <w:tcBorders>
              <w:top w:val="single" w:sz="4" w:space="0" w:color="auto"/>
              <w:left w:val="nil"/>
              <w:bottom w:val="single" w:sz="6" w:space="0" w:color="000000"/>
              <w:right w:val="nil"/>
            </w:tcBorders>
            <w:shd w:val="clear" w:color="auto" w:fill="FFFFFF"/>
            <w:tcMar>
              <w:left w:w="80" w:type="dxa"/>
              <w:right w:w="80" w:type="dxa"/>
            </w:tcMar>
            <w:vAlign w:val="bottom"/>
          </w:tcPr>
          <w:p w:rsidR="007B32C3" w:rsidRPr="007B32C3" w:rsidRDefault="007B32C3" w:rsidP="007B32C3">
            <w:pPr>
              <w:keepNext/>
              <w:autoSpaceDE w:val="0"/>
              <w:autoSpaceDN w:val="0"/>
              <w:adjustRightInd w:val="0"/>
              <w:spacing w:before="80" w:after="80"/>
              <w:jc w:val="center"/>
              <w:rPr>
                <w:rFonts w:ascii="Calibri" w:hAnsi="Calibri" w:cs="Calibri"/>
                <w:b/>
                <w:bCs/>
                <w:color w:val="000000"/>
                <w:sz w:val="22"/>
                <w:szCs w:val="22"/>
              </w:rPr>
            </w:pPr>
            <w:r w:rsidRPr="007B32C3">
              <w:rPr>
                <w:rFonts w:ascii="Calibri" w:hAnsi="Calibri" w:cs="Calibri"/>
                <w:b/>
                <w:bCs/>
                <w:color w:val="000000"/>
                <w:sz w:val="22"/>
                <w:szCs w:val="22"/>
              </w:rPr>
              <w:t>P10</w:t>
            </w:r>
          </w:p>
        </w:tc>
        <w:tc>
          <w:tcPr>
            <w:tcW w:w="741" w:type="dxa"/>
            <w:tcBorders>
              <w:top w:val="single" w:sz="4" w:space="0" w:color="auto"/>
              <w:left w:val="nil"/>
              <w:bottom w:val="single" w:sz="6" w:space="0" w:color="000000"/>
              <w:right w:val="nil"/>
            </w:tcBorders>
            <w:shd w:val="clear" w:color="auto" w:fill="FFFFFF"/>
            <w:tcMar>
              <w:left w:w="80" w:type="dxa"/>
              <w:right w:w="80" w:type="dxa"/>
            </w:tcMar>
            <w:vAlign w:val="bottom"/>
          </w:tcPr>
          <w:p w:rsidR="007B32C3" w:rsidRPr="007B32C3" w:rsidRDefault="007B32C3" w:rsidP="007B32C3">
            <w:pPr>
              <w:keepNext/>
              <w:autoSpaceDE w:val="0"/>
              <w:autoSpaceDN w:val="0"/>
              <w:adjustRightInd w:val="0"/>
              <w:spacing w:before="80" w:after="80"/>
              <w:jc w:val="center"/>
              <w:rPr>
                <w:rFonts w:ascii="Calibri" w:hAnsi="Calibri" w:cs="Calibri"/>
                <w:b/>
                <w:bCs/>
                <w:color w:val="000000"/>
                <w:sz w:val="22"/>
                <w:szCs w:val="22"/>
              </w:rPr>
            </w:pPr>
            <w:r w:rsidRPr="007B32C3">
              <w:rPr>
                <w:rFonts w:ascii="Calibri" w:hAnsi="Calibri" w:cs="Calibri"/>
                <w:b/>
                <w:bCs/>
                <w:color w:val="000000"/>
                <w:sz w:val="22"/>
                <w:szCs w:val="22"/>
              </w:rPr>
              <w:t>Q1</w:t>
            </w:r>
          </w:p>
        </w:tc>
        <w:tc>
          <w:tcPr>
            <w:tcW w:w="891" w:type="dxa"/>
            <w:tcBorders>
              <w:top w:val="single" w:sz="4" w:space="0" w:color="auto"/>
              <w:left w:val="nil"/>
              <w:bottom w:val="single" w:sz="6" w:space="0" w:color="000000"/>
              <w:right w:val="nil"/>
            </w:tcBorders>
            <w:shd w:val="clear" w:color="auto" w:fill="FFFFFF"/>
            <w:tcMar>
              <w:left w:w="80" w:type="dxa"/>
              <w:right w:w="80" w:type="dxa"/>
            </w:tcMar>
            <w:vAlign w:val="bottom"/>
          </w:tcPr>
          <w:p w:rsidR="007B32C3" w:rsidRPr="007B32C3" w:rsidRDefault="007B32C3" w:rsidP="007B32C3">
            <w:pPr>
              <w:keepNext/>
              <w:autoSpaceDE w:val="0"/>
              <w:autoSpaceDN w:val="0"/>
              <w:adjustRightInd w:val="0"/>
              <w:spacing w:before="80" w:after="80"/>
              <w:jc w:val="center"/>
              <w:rPr>
                <w:rFonts w:ascii="Calibri" w:hAnsi="Calibri" w:cs="Calibri"/>
                <w:b/>
                <w:bCs/>
                <w:color w:val="000000"/>
                <w:sz w:val="22"/>
                <w:szCs w:val="22"/>
              </w:rPr>
            </w:pPr>
            <w:r w:rsidRPr="007B32C3">
              <w:rPr>
                <w:rFonts w:ascii="Calibri" w:hAnsi="Calibri" w:cs="Calibri"/>
                <w:b/>
                <w:bCs/>
                <w:color w:val="000000"/>
                <w:sz w:val="22"/>
                <w:szCs w:val="22"/>
              </w:rPr>
              <w:t>Median</w:t>
            </w:r>
          </w:p>
        </w:tc>
        <w:tc>
          <w:tcPr>
            <w:tcW w:w="741" w:type="dxa"/>
            <w:tcBorders>
              <w:top w:val="single" w:sz="4" w:space="0" w:color="auto"/>
              <w:left w:val="nil"/>
              <w:bottom w:val="single" w:sz="6" w:space="0" w:color="000000"/>
              <w:right w:val="nil"/>
            </w:tcBorders>
            <w:shd w:val="clear" w:color="auto" w:fill="FFFFFF"/>
            <w:tcMar>
              <w:left w:w="80" w:type="dxa"/>
              <w:right w:w="80" w:type="dxa"/>
            </w:tcMar>
            <w:vAlign w:val="bottom"/>
          </w:tcPr>
          <w:p w:rsidR="007B32C3" w:rsidRPr="007B32C3" w:rsidRDefault="007B32C3" w:rsidP="007B32C3">
            <w:pPr>
              <w:keepNext/>
              <w:autoSpaceDE w:val="0"/>
              <w:autoSpaceDN w:val="0"/>
              <w:adjustRightInd w:val="0"/>
              <w:spacing w:before="80" w:after="80"/>
              <w:jc w:val="center"/>
              <w:rPr>
                <w:rFonts w:ascii="Calibri" w:hAnsi="Calibri" w:cs="Calibri"/>
                <w:b/>
                <w:bCs/>
                <w:color w:val="000000"/>
                <w:sz w:val="22"/>
                <w:szCs w:val="22"/>
              </w:rPr>
            </w:pPr>
            <w:r w:rsidRPr="007B32C3">
              <w:rPr>
                <w:rFonts w:ascii="Calibri" w:hAnsi="Calibri" w:cs="Calibri"/>
                <w:b/>
                <w:bCs/>
                <w:color w:val="000000"/>
                <w:sz w:val="22"/>
                <w:szCs w:val="22"/>
              </w:rPr>
              <w:t>Q3</w:t>
            </w:r>
          </w:p>
        </w:tc>
        <w:tc>
          <w:tcPr>
            <w:tcW w:w="844" w:type="dxa"/>
            <w:tcBorders>
              <w:top w:val="single" w:sz="4" w:space="0" w:color="auto"/>
              <w:left w:val="nil"/>
              <w:bottom w:val="single" w:sz="6" w:space="0" w:color="000000"/>
              <w:right w:val="nil"/>
            </w:tcBorders>
            <w:shd w:val="clear" w:color="auto" w:fill="FFFFFF"/>
            <w:tcMar>
              <w:left w:w="80" w:type="dxa"/>
              <w:right w:w="80" w:type="dxa"/>
            </w:tcMar>
            <w:vAlign w:val="bottom"/>
          </w:tcPr>
          <w:p w:rsidR="007B32C3" w:rsidRPr="007B32C3" w:rsidRDefault="007B32C3" w:rsidP="007B32C3">
            <w:pPr>
              <w:keepNext/>
              <w:autoSpaceDE w:val="0"/>
              <w:autoSpaceDN w:val="0"/>
              <w:adjustRightInd w:val="0"/>
              <w:spacing w:before="80" w:after="80"/>
              <w:jc w:val="center"/>
              <w:rPr>
                <w:rFonts w:ascii="Calibri" w:hAnsi="Calibri" w:cs="Calibri"/>
                <w:b/>
                <w:bCs/>
                <w:color w:val="000000"/>
                <w:sz w:val="22"/>
                <w:szCs w:val="22"/>
              </w:rPr>
            </w:pPr>
            <w:r w:rsidRPr="007B32C3">
              <w:rPr>
                <w:rFonts w:ascii="Calibri" w:hAnsi="Calibri" w:cs="Calibri"/>
                <w:b/>
                <w:bCs/>
                <w:color w:val="000000"/>
                <w:sz w:val="22"/>
                <w:szCs w:val="22"/>
              </w:rPr>
              <w:t>P90</w:t>
            </w:r>
          </w:p>
        </w:tc>
        <w:tc>
          <w:tcPr>
            <w:tcW w:w="962" w:type="dxa"/>
            <w:tcBorders>
              <w:top w:val="single" w:sz="4" w:space="0" w:color="auto"/>
              <w:left w:val="nil"/>
              <w:bottom w:val="single" w:sz="6" w:space="0" w:color="000000"/>
              <w:right w:val="nil"/>
            </w:tcBorders>
            <w:shd w:val="clear" w:color="auto" w:fill="FFFFFF"/>
            <w:tcMar>
              <w:left w:w="80" w:type="dxa"/>
              <w:right w:w="80" w:type="dxa"/>
            </w:tcMar>
            <w:vAlign w:val="bottom"/>
          </w:tcPr>
          <w:p w:rsidR="007B32C3" w:rsidRPr="007B32C3" w:rsidRDefault="007B32C3" w:rsidP="007B32C3">
            <w:pPr>
              <w:keepNext/>
              <w:autoSpaceDE w:val="0"/>
              <w:autoSpaceDN w:val="0"/>
              <w:adjustRightInd w:val="0"/>
              <w:spacing w:before="80" w:after="80"/>
              <w:jc w:val="center"/>
              <w:rPr>
                <w:rFonts w:ascii="Calibri" w:hAnsi="Calibri" w:cs="Calibri"/>
                <w:b/>
                <w:bCs/>
                <w:color w:val="000000"/>
                <w:sz w:val="22"/>
                <w:szCs w:val="22"/>
              </w:rPr>
            </w:pPr>
            <w:r w:rsidRPr="007B32C3">
              <w:rPr>
                <w:rFonts w:ascii="Calibri" w:hAnsi="Calibri" w:cs="Calibri"/>
                <w:b/>
                <w:bCs/>
                <w:color w:val="000000"/>
                <w:sz w:val="22"/>
                <w:szCs w:val="22"/>
              </w:rPr>
              <w:t>Max</w:t>
            </w:r>
          </w:p>
        </w:tc>
      </w:tr>
      <w:tr w:rsidR="007B32C3" w:rsidRPr="007B32C3" w:rsidTr="0054753A">
        <w:trPr>
          <w:cantSplit/>
        </w:trPr>
        <w:tc>
          <w:tcPr>
            <w:tcW w:w="2564" w:type="dxa"/>
            <w:tcBorders>
              <w:top w:val="nil"/>
              <w:left w:val="nil"/>
              <w:bottom w:val="nil"/>
              <w:right w:val="nil"/>
            </w:tcBorders>
            <w:shd w:val="clear" w:color="auto" w:fill="FFFFFF"/>
            <w:tcMar>
              <w:left w:w="80" w:type="dxa"/>
              <w:right w:w="80" w:type="dxa"/>
            </w:tcMar>
          </w:tcPr>
          <w:p w:rsidR="007B32C3" w:rsidRPr="007B32C3" w:rsidRDefault="007B32C3" w:rsidP="007B32C3">
            <w:pPr>
              <w:autoSpaceDE w:val="0"/>
              <w:autoSpaceDN w:val="0"/>
              <w:adjustRightInd w:val="0"/>
              <w:spacing w:before="80" w:after="80"/>
              <w:rPr>
                <w:rFonts w:ascii="Calibri" w:hAnsi="Calibri" w:cs="Calibri"/>
                <w:b/>
                <w:bCs/>
                <w:color w:val="000000"/>
                <w:sz w:val="22"/>
                <w:szCs w:val="22"/>
              </w:rPr>
            </w:pPr>
            <w:r w:rsidRPr="007B32C3">
              <w:rPr>
                <w:rFonts w:ascii="Calibri" w:hAnsi="Calibri" w:cs="Calibri"/>
                <w:b/>
                <w:bCs/>
                <w:color w:val="000000"/>
                <w:sz w:val="22"/>
                <w:szCs w:val="22"/>
              </w:rPr>
              <w:t>Average bid</w:t>
            </w:r>
          </w:p>
        </w:tc>
        <w:tc>
          <w:tcPr>
            <w:tcW w:w="741" w:type="dxa"/>
            <w:tcBorders>
              <w:top w:val="nil"/>
              <w:left w:val="nil"/>
              <w:bottom w:val="nil"/>
              <w:right w:val="nil"/>
            </w:tcBorders>
            <w:shd w:val="clear" w:color="auto" w:fill="FFFFFF"/>
            <w:tcMar>
              <w:left w:w="80" w:type="dxa"/>
              <w:right w:w="80" w:type="dxa"/>
            </w:tcMar>
            <w:vAlign w:val="bottom"/>
          </w:tcPr>
          <w:p w:rsidR="007B32C3" w:rsidRPr="007B32C3" w:rsidRDefault="007B32C3" w:rsidP="007B32C3">
            <w:pPr>
              <w:autoSpaceDE w:val="0"/>
              <w:autoSpaceDN w:val="0"/>
              <w:adjustRightInd w:val="0"/>
              <w:spacing w:before="80" w:after="80"/>
              <w:jc w:val="right"/>
              <w:rPr>
                <w:rFonts w:ascii="Calibri" w:hAnsi="Calibri" w:cs="Calibri"/>
                <w:color w:val="000000"/>
                <w:sz w:val="20"/>
                <w:szCs w:val="20"/>
              </w:rPr>
            </w:pPr>
            <w:r w:rsidRPr="007B32C3">
              <w:rPr>
                <w:rFonts w:ascii="Calibri" w:hAnsi="Calibri" w:cs="Calibri"/>
                <w:color w:val="000000"/>
                <w:sz w:val="20"/>
                <w:szCs w:val="20"/>
              </w:rPr>
              <w:t>$3.83</w:t>
            </w:r>
          </w:p>
        </w:tc>
        <w:tc>
          <w:tcPr>
            <w:tcW w:w="741" w:type="dxa"/>
            <w:tcBorders>
              <w:top w:val="nil"/>
              <w:left w:val="nil"/>
              <w:bottom w:val="nil"/>
              <w:right w:val="nil"/>
            </w:tcBorders>
            <w:shd w:val="clear" w:color="auto" w:fill="FFFFFF"/>
            <w:tcMar>
              <w:left w:w="80" w:type="dxa"/>
              <w:right w:w="80" w:type="dxa"/>
            </w:tcMar>
            <w:vAlign w:val="bottom"/>
          </w:tcPr>
          <w:p w:rsidR="007B32C3" w:rsidRPr="007B32C3" w:rsidRDefault="007B32C3" w:rsidP="007B32C3">
            <w:pPr>
              <w:autoSpaceDE w:val="0"/>
              <w:autoSpaceDN w:val="0"/>
              <w:adjustRightInd w:val="0"/>
              <w:spacing w:before="80" w:after="80"/>
              <w:jc w:val="right"/>
              <w:rPr>
                <w:rFonts w:ascii="Calibri" w:hAnsi="Calibri" w:cs="Calibri"/>
                <w:color w:val="000000"/>
                <w:sz w:val="20"/>
                <w:szCs w:val="20"/>
              </w:rPr>
            </w:pPr>
            <w:r w:rsidRPr="007B32C3">
              <w:rPr>
                <w:rFonts w:ascii="Calibri" w:hAnsi="Calibri" w:cs="Calibri"/>
                <w:color w:val="000000"/>
                <w:sz w:val="20"/>
                <w:szCs w:val="20"/>
              </w:rPr>
              <w:t>$1.13</w:t>
            </w:r>
          </w:p>
        </w:tc>
        <w:tc>
          <w:tcPr>
            <w:tcW w:w="741" w:type="dxa"/>
            <w:tcBorders>
              <w:top w:val="nil"/>
              <w:left w:val="nil"/>
              <w:bottom w:val="nil"/>
              <w:right w:val="nil"/>
            </w:tcBorders>
            <w:shd w:val="clear" w:color="auto" w:fill="FFFFFF"/>
            <w:tcMar>
              <w:left w:w="80" w:type="dxa"/>
              <w:right w:w="80" w:type="dxa"/>
            </w:tcMar>
            <w:vAlign w:val="bottom"/>
          </w:tcPr>
          <w:p w:rsidR="007B32C3" w:rsidRPr="007B32C3" w:rsidRDefault="007B32C3" w:rsidP="007B32C3">
            <w:pPr>
              <w:autoSpaceDE w:val="0"/>
              <w:autoSpaceDN w:val="0"/>
              <w:adjustRightInd w:val="0"/>
              <w:spacing w:before="80" w:after="80"/>
              <w:jc w:val="right"/>
              <w:rPr>
                <w:rFonts w:ascii="Calibri" w:hAnsi="Calibri" w:cs="Calibri"/>
                <w:color w:val="000000"/>
                <w:sz w:val="20"/>
                <w:szCs w:val="20"/>
              </w:rPr>
            </w:pPr>
            <w:r w:rsidRPr="007B32C3">
              <w:rPr>
                <w:rFonts w:ascii="Calibri" w:hAnsi="Calibri" w:cs="Calibri"/>
                <w:color w:val="000000"/>
                <w:sz w:val="20"/>
                <w:szCs w:val="20"/>
              </w:rPr>
              <w:t>$2.49</w:t>
            </w:r>
          </w:p>
        </w:tc>
        <w:tc>
          <w:tcPr>
            <w:tcW w:w="741" w:type="dxa"/>
            <w:tcBorders>
              <w:top w:val="nil"/>
              <w:left w:val="nil"/>
              <w:bottom w:val="nil"/>
              <w:right w:val="nil"/>
            </w:tcBorders>
            <w:shd w:val="clear" w:color="auto" w:fill="FFFFFF"/>
            <w:tcMar>
              <w:left w:w="80" w:type="dxa"/>
              <w:right w:w="80" w:type="dxa"/>
            </w:tcMar>
            <w:vAlign w:val="bottom"/>
          </w:tcPr>
          <w:p w:rsidR="007B32C3" w:rsidRPr="007B32C3" w:rsidRDefault="007B32C3" w:rsidP="007B32C3">
            <w:pPr>
              <w:autoSpaceDE w:val="0"/>
              <w:autoSpaceDN w:val="0"/>
              <w:adjustRightInd w:val="0"/>
              <w:spacing w:before="80" w:after="80"/>
              <w:jc w:val="right"/>
              <w:rPr>
                <w:rFonts w:ascii="Calibri" w:hAnsi="Calibri" w:cs="Calibri"/>
                <w:color w:val="000000"/>
                <w:sz w:val="20"/>
                <w:szCs w:val="20"/>
              </w:rPr>
            </w:pPr>
            <w:r w:rsidRPr="007B32C3">
              <w:rPr>
                <w:rFonts w:ascii="Calibri" w:hAnsi="Calibri" w:cs="Calibri"/>
                <w:color w:val="000000"/>
                <w:sz w:val="20"/>
                <w:szCs w:val="20"/>
              </w:rPr>
              <w:t>$2.49</w:t>
            </w:r>
          </w:p>
        </w:tc>
        <w:tc>
          <w:tcPr>
            <w:tcW w:w="891" w:type="dxa"/>
            <w:tcBorders>
              <w:top w:val="nil"/>
              <w:left w:val="nil"/>
              <w:bottom w:val="nil"/>
              <w:right w:val="nil"/>
            </w:tcBorders>
            <w:shd w:val="clear" w:color="auto" w:fill="FFFFFF"/>
            <w:tcMar>
              <w:left w:w="80" w:type="dxa"/>
              <w:right w:w="80" w:type="dxa"/>
            </w:tcMar>
            <w:vAlign w:val="bottom"/>
          </w:tcPr>
          <w:p w:rsidR="007B32C3" w:rsidRPr="007B32C3" w:rsidRDefault="007B32C3" w:rsidP="007B32C3">
            <w:pPr>
              <w:autoSpaceDE w:val="0"/>
              <w:autoSpaceDN w:val="0"/>
              <w:adjustRightInd w:val="0"/>
              <w:spacing w:before="80" w:after="80"/>
              <w:jc w:val="right"/>
              <w:rPr>
                <w:rFonts w:ascii="Calibri" w:hAnsi="Calibri" w:cs="Calibri"/>
                <w:color w:val="000000"/>
                <w:sz w:val="20"/>
                <w:szCs w:val="20"/>
              </w:rPr>
            </w:pPr>
            <w:r w:rsidRPr="007B32C3">
              <w:rPr>
                <w:rFonts w:ascii="Calibri" w:hAnsi="Calibri" w:cs="Calibri"/>
                <w:color w:val="000000"/>
                <w:sz w:val="20"/>
                <w:szCs w:val="20"/>
              </w:rPr>
              <w:t>$3.87</w:t>
            </w:r>
          </w:p>
        </w:tc>
        <w:tc>
          <w:tcPr>
            <w:tcW w:w="741" w:type="dxa"/>
            <w:tcBorders>
              <w:top w:val="nil"/>
              <w:left w:val="nil"/>
              <w:bottom w:val="nil"/>
              <w:right w:val="nil"/>
            </w:tcBorders>
            <w:shd w:val="clear" w:color="auto" w:fill="FFFFFF"/>
            <w:tcMar>
              <w:left w:w="80" w:type="dxa"/>
              <w:right w:w="80" w:type="dxa"/>
            </w:tcMar>
            <w:vAlign w:val="bottom"/>
          </w:tcPr>
          <w:p w:rsidR="007B32C3" w:rsidRPr="007B32C3" w:rsidRDefault="007B32C3" w:rsidP="007B32C3">
            <w:pPr>
              <w:autoSpaceDE w:val="0"/>
              <w:autoSpaceDN w:val="0"/>
              <w:adjustRightInd w:val="0"/>
              <w:spacing w:before="80" w:after="80"/>
              <w:jc w:val="right"/>
              <w:rPr>
                <w:rFonts w:ascii="Calibri" w:hAnsi="Calibri" w:cs="Calibri"/>
                <w:color w:val="000000"/>
                <w:sz w:val="20"/>
                <w:szCs w:val="20"/>
              </w:rPr>
            </w:pPr>
            <w:r w:rsidRPr="007B32C3">
              <w:rPr>
                <w:rFonts w:ascii="Calibri" w:hAnsi="Calibri" w:cs="Calibri"/>
                <w:color w:val="000000"/>
                <w:sz w:val="20"/>
                <w:szCs w:val="20"/>
              </w:rPr>
              <w:t>$4.92</w:t>
            </w:r>
          </w:p>
        </w:tc>
        <w:tc>
          <w:tcPr>
            <w:tcW w:w="844" w:type="dxa"/>
            <w:tcBorders>
              <w:top w:val="nil"/>
              <w:left w:val="nil"/>
              <w:bottom w:val="nil"/>
              <w:right w:val="nil"/>
            </w:tcBorders>
            <w:shd w:val="clear" w:color="auto" w:fill="FFFFFF"/>
            <w:tcMar>
              <w:left w:w="80" w:type="dxa"/>
              <w:right w:w="80" w:type="dxa"/>
            </w:tcMar>
            <w:vAlign w:val="bottom"/>
          </w:tcPr>
          <w:p w:rsidR="007B32C3" w:rsidRPr="007B32C3" w:rsidRDefault="007B32C3" w:rsidP="007B32C3">
            <w:pPr>
              <w:autoSpaceDE w:val="0"/>
              <w:autoSpaceDN w:val="0"/>
              <w:adjustRightInd w:val="0"/>
              <w:spacing w:before="80" w:after="80"/>
              <w:jc w:val="right"/>
              <w:rPr>
                <w:rFonts w:ascii="Calibri" w:hAnsi="Calibri" w:cs="Calibri"/>
                <w:color w:val="000000"/>
                <w:sz w:val="20"/>
                <w:szCs w:val="20"/>
              </w:rPr>
            </w:pPr>
            <w:r w:rsidRPr="007B32C3">
              <w:rPr>
                <w:rFonts w:ascii="Calibri" w:hAnsi="Calibri" w:cs="Calibri"/>
                <w:color w:val="000000"/>
                <w:sz w:val="20"/>
                <w:szCs w:val="20"/>
              </w:rPr>
              <w:t>$5.47</w:t>
            </w:r>
          </w:p>
        </w:tc>
        <w:tc>
          <w:tcPr>
            <w:tcW w:w="962" w:type="dxa"/>
            <w:tcBorders>
              <w:top w:val="nil"/>
              <w:left w:val="nil"/>
              <w:bottom w:val="nil"/>
              <w:right w:val="nil"/>
            </w:tcBorders>
            <w:shd w:val="clear" w:color="auto" w:fill="FFFFFF"/>
            <w:tcMar>
              <w:left w:w="80" w:type="dxa"/>
              <w:right w:w="80" w:type="dxa"/>
            </w:tcMar>
            <w:vAlign w:val="bottom"/>
          </w:tcPr>
          <w:p w:rsidR="007B32C3" w:rsidRPr="007B32C3" w:rsidRDefault="007B32C3" w:rsidP="007B32C3">
            <w:pPr>
              <w:autoSpaceDE w:val="0"/>
              <w:autoSpaceDN w:val="0"/>
              <w:adjustRightInd w:val="0"/>
              <w:spacing w:before="80" w:after="80"/>
              <w:jc w:val="right"/>
              <w:rPr>
                <w:rFonts w:ascii="Calibri" w:hAnsi="Calibri" w:cs="Calibri"/>
                <w:color w:val="000000"/>
                <w:sz w:val="20"/>
                <w:szCs w:val="20"/>
              </w:rPr>
            </w:pPr>
            <w:r w:rsidRPr="007B32C3">
              <w:rPr>
                <w:rFonts w:ascii="Calibri" w:hAnsi="Calibri" w:cs="Calibri"/>
                <w:color w:val="000000"/>
                <w:sz w:val="20"/>
                <w:szCs w:val="20"/>
              </w:rPr>
              <w:t>$6.00</w:t>
            </w:r>
          </w:p>
        </w:tc>
      </w:tr>
      <w:tr w:rsidR="007B32C3" w:rsidRPr="007B32C3" w:rsidTr="0054753A">
        <w:trPr>
          <w:cantSplit/>
        </w:trPr>
        <w:tc>
          <w:tcPr>
            <w:tcW w:w="2564" w:type="dxa"/>
            <w:tcBorders>
              <w:top w:val="nil"/>
              <w:left w:val="nil"/>
              <w:bottom w:val="nil"/>
              <w:right w:val="nil"/>
            </w:tcBorders>
            <w:shd w:val="clear" w:color="auto" w:fill="FFFFFF"/>
            <w:tcMar>
              <w:left w:w="80" w:type="dxa"/>
              <w:right w:w="80" w:type="dxa"/>
            </w:tcMar>
          </w:tcPr>
          <w:p w:rsidR="007B32C3" w:rsidRPr="007B32C3" w:rsidRDefault="007B32C3" w:rsidP="007B32C3">
            <w:pPr>
              <w:autoSpaceDE w:val="0"/>
              <w:autoSpaceDN w:val="0"/>
              <w:adjustRightInd w:val="0"/>
              <w:spacing w:before="80" w:after="80"/>
              <w:rPr>
                <w:rFonts w:ascii="Calibri" w:hAnsi="Calibri" w:cs="Calibri"/>
                <w:b/>
                <w:bCs/>
                <w:color w:val="000000"/>
                <w:sz w:val="22"/>
                <w:szCs w:val="22"/>
              </w:rPr>
            </w:pPr>
            <w:r w:rsidRPr="007B32C3">
              <w:rPr>
                <w:rFonts w:ascii="Calibri" w:hAnsi="Calibri" w:cs="Calibri"/>
                <w:b/>
                <w:bCs/>
                <w:color w:val="000000"/>
                <w:sz w:val="22"/>
                <w:szCs w:val="22"/>
              </w:rPr>
              <w:t>One-tick spreads</w:t>
            </w:r>
          </w:p>
        </w:tc>
        <w:tc>
          <w:tcPr>
            <w:tcW w:w="741" w:type="dxa"/>
            <w:tcBorders>
              <w:top w:val="nil"/>
              <w:left w:val="nil"/>
              <w:bottom w:val="nil"/>
              <w:right w:val="nil"/>
            </w:tcBorders>
            <w:shd w:val="clear" w:color="auto" w:fill="FFFFFF"/>
            <w:tcMar>
              <w:left w:w="80" w:type="dxa"/>
              <w:right w:w="80" w:type="dxa"/>
            </w:tcMar>
            <w:vAlign w:val="bottom"/>
          </w:tcPr>
          <w:p w:rsidR="007B32C3" w:rsidRPr="007B32C3" w:rsidRDefault="007B32C3" w:rsidP="007B32C3">
            <w:pPr>
              <w:autoSpaceDE w:val="0"/>
              <w:autoSpaceDN w:val="0"/>
              <w:adjustRightInd w:val="0"/>
              <w:spacing w:before="80" w:after="80"/>
              <w:jc w:val="right"/>
              <w:rPr>
                <w:rFonts w:ascii="Calibri" w:hAnsi="Calibri" w:cs="Calibri"/>
                <w:color w:val="000000"/>
                <w:sz w:val="20"/>
                <w:szCs w:val="20"/>
              </w:rPr>
            </w:pPr>
            <w:r w:rsidRPr="007B32C3">
              <w:rPr>
                <w:rFonts w:ascii="Calibri" w:hAnsi="Calibri" w:cs="Calibri"/>
                <w:color w:val="000000"/>
                <w:sz w:val="20"/>
                <w:szCs w:val="20"/>
              </w:rPr>
              <w:t>98%</w:t>
            </w:r>
          </w:p>
        </w:tc>
        <w:tc>
          <w:tcPr>
            <w:tcW w:w="741" w:type="dxa"/>
            <w:tcBorders>
              <w:top w:val="nil"/>
              <w:left w:val="nil"/>
              <w:bottom w:val="nil"/>
              <w:right w:val="nil"/>
            </w:tcBorders>
            <w:shd w:val="clear" w:color="auto" w:fill="FFFFFF"/>
            <w:tcMar>
              <w:left w:w="80" w:type="dxa"/>
              <w:right w:w="80" w:type="dxa"/>
            </w:tcMar>
            <w:vAlign w:val="bottom"/>
          </w:tcPr>
          <w:p w:rsidR="007B32C3" w:rsidRPr="007B32C3" w:rsidRDefault="007B32C3" w:rsidP="007B32C3">
            <w:pPr>
              <w:autoSpaceDE w:val="0"/>
              <w:autoSpaceDN w:val="0"/>
              <w:adjustRightInd w:val="0"/>
              <w:spacing w:before="80" w:after="80"/>
              <w:jc w:val="right"/>
              <w:rPr>
                <w:rFonts w:ascii="Calibri" w:hAnsi="Calibri" w:cs="Calibri"/>
                <w:color w:val="000000"/>
                <w:sz w:val="20"/>
                <w:szCs w:val="20"/>
              </w:rPr>
            </w:pPr>
            <w:r w:rsidRPr="007B32C3">
              <w:rPr>
                <w:rFonts w:ascii="Calibri" w:hAnsi="Calibri" w:cs="Calibri"/>
                <w:color w:val="000000"/>
                <w:sz w:val="20"/>
                <w:szCs w:val="20"/>
              </w:rPr>
              <w:t>71%</w:t>
            </w:r>
          </w:p>
        </w:tc>
        <w:tc>
          <w:tcPr>
            <w:tcW w:w="741" w:type="dxa"/>
            <w:tcBorders>
              <w:top w:val="nil"/>
              <w:left w:val="nil"/>
              <w:bottom w:val="nil"/>
              <w:right w:val="nil"/>
            </w:tcBorders>
            <w:shd w:val="clear" w:color="auto" w:fill="FFFFFF"/>
            <w:tcMar>
              <w:left w:w="80" w:type="dxa"/>
              <w:right w:w="80" w:type="dxa"/>
            </w:tcMar>
            <w:vAlign w:val="bottom"/>
          </w:tcPr>
          <w:p w:rsidR="007B32C3" w:rsidRPr="007B32C3" w:rsidRDefault="007B32C3" w:rsidP="007B32C3">
            <w:pPr>
              <w:autoSpaceDE w:val="0"/>
              <w:autoSpaceDN w:val="0"/>
              <w:adjustRightInd w:val="0"/>
              <w:spacing w:before="80" w:after="80"/>
              <w:jc w:val="right"/>
              <w:rPr>
                <w:rFonts w:ascii="Calibri" w:hAnsi="Calibri" w:cs="Calibri"/>
                <w:color w:val="000000"/>
                <w:sz w:val="20"/>
                <w:szCs w:val="20"/>
              </w:rPr>
            </w:pPr>
            <w:r w:rsidRPr="007B32C3">
              <w:rPr>
                <w:rFonts w:ascii="Calibri" w:hAnsi="Calibri" w:cs="Calibri"/>
                <w:color w:val="000000"/>
                <w:sz w:val="20"/>
                <w:szCs w:val="20"/>
              </w:rPr>
              <w:t>96%</w:t>
            </w:r>
          </w:p>
        </w:tc>
        <w:tc>
          <w:tcPr>
            <w:tcW w:w="741" w:type="dxa"/>
            <w:tcBorders>
              <w:top w:val="nil"/>
              <w:left w:val="nil"/>
              <w:bottom w:val="nil"/>
              <w:right w:val="nil"/>
            </w:tcBorders>
            <w:shd w:val="clear" w:color="auto" w:fill="FFFFFF"/>
            <w:tcMar>
              <w:left w:w="80" w:type="dxa"/>
              <w:right w:w="80" w:type="dxa"/>
            </w:tcMar>
            <w:vAlign w:val="bottom"/>
          </w:tcPr>
          <w:p w:rsidR="007B32C3" w:rsidRPr="007B32C3" w:rsidRDefault="007B32C3" w:rsidP="007B32C3">
            <w:pPr>
              <w:autoSpaceDE w:val="0"/>
              <w:autoSpaceDN w:val="0"/>
              <w:adjustRightInd w:val="0"/>
              <w:spacing w:before="80" w:after="80"/>
              <w:jc w:val="right"/>
              <w:rPr>
                <w:rFonts w:ascii="Calibri" w:hAnsi="Calibri" w:cs="Calibri"/>
                <w:color w:val="000000"/>
                <w:sz w:val="20"/>
                <w:szCs w:val="20"/>
              </w:rPr>
            </w:pPr>
            <w:r w:rsidRPr="007B32C3">
              <w:rPr>
                <w:rFonts w:ascii="Calibri" w:hAnsi="Calibri" w:cs="Calibri"/>
                <w:color w:val="000000"/>
                <w:sz w:val="20"/>
                <w:szCs w:val="20"/>
              </w:rPr>
              <w:t>98%</w:t>
            </w:r>
          </w:p>
        </w:tc>
        <w:tc>
          <w:tcPr>
            <w:tcW w:w="891" w:type="dxa"/>
            <w:tcBorders>
              <w:top w:val="nil"/>
              <w:left w:val="nil"/>
              <w:bottom w:val="nil"/>
              <w:right w:val="nil"/>
            </w:tcBorders>
            <w:shd w:val="clear" w:color="auto" w:fill="FFFFFF"/>
            <w:tcMar>
              <w:left w:w="80" w:type="dxa"/>
              <w:right w:w="80" w:type="dxa"/>
            </w:tcMar>
            <w:vAlign w:val="bottom"/>
          </w:tcPr>
          <w:p w:rsidR="007B32C3" w:rsidRPr="007B32C3" w:rsidRDefault="007B32C3" w:rsidP="007B32C3">
            <w:pPr>
              <w:autoSpaceDE w:val="0"/>
              <w:autoSpaceDN w:val="0"/>
              <w:adjustRightInd w:val="0"/>
              <w:spacing w:before="80" w:after="80"/>
              <w:jc w:val="right"/>
              <w:rPr>
                <w:rFonts w:ascii="Calibri" w:hAnsi="Calibri" w:cs="Calibri"/>
                <w:color w:val="000000"/>
                <w:sz w:val="20"/>
                <w:szCs w:val="20"/>
              </w:rPr>
            </w:pPr>
            <w:r w:rsidRPr="007B32C3">
              <w:rPr>
                <w:rFonts w:ascii="Calibri" w:hAnsi="Calibri" w:cs="Calibri"/>
                <w:color w:val="000000"/>
                <w:sz w:val="20"/>
                <w:szCs w:val="20"/>
              </w:rPr>
              <w:t>100%</w:t>
            </w:r>
          </w:p>
        </w:tc>
        <w:tc>
          <w:tcPr>
            <w:tcW w:w="741" w:type="dxa"/>
            <w:tcBorders>
              <w:top w:val="nil"/>
              <w:left w:val="nil"/>
              <w:bottom w:val="nil"/>
              <w:right w:val="nil"/>
            </w:tcBorders>
            <w:shd w:val="clear" w:color="auto" w:fill="FFFFFF"/>
            <w:tcMar>
              <w:left w:w="80" w:type="dxa"/>
              <w:right w:w="80" w:type="dxa"/>
            </w:tcMar>
            <w:vAlign w:val="bottom"/>
          </w:tcPr>
          <w:p w:rsidR="007B32C3" w:rsidRPr="007B32C3" w:rsidRDefault="007B32C3" w:rsidP="007B32C3">
            <w:pPr>
              <w:autoSpaceDE w:val="0"/>
              <w:autoSpaceDN w:val="0"/>
              <w:adjustRightInd w:val="0"/>
              <w:spacing w:before="80" w:after="80"/>
              <w:jc w:val="right"/>
              <w:rPr>
                <w:rFonts w:ascii="Calibri" w:hAnsi="Calibri" w:cs="Calibri"/>
                <w:color w:val="000000"/>
                <w:sz w:val="20"/>
                <w:szCs w:val="20"/>
              </w:rPr>
            </w:pPr>
            <w:r w:rsidRPr="007B32C3">
              <w:rPr>
                <w:rFonts w:ascii="Calibri" w:hAnsi="Calibri" w:cs="Calibri"/>
                <w:color w:val="000000"/>
                <w:sz w:val="20"/>
                <w:szCs w:val="20"/>
              </w:rPr>
              <w:t>100%</w:t>
            </w:r>
          </w:p>
        </w:tc>
        <w:tc>
          <w:tcPr>
            <w:tcW w:w="844" w:type="dxa"/>
            <w:tcBorders>
              <w:top w:val="nil"/>
              <w:left w:val="nil"/>
              <w:bottom w:val="nil"/>
              <w:right w:val="nil"/>
            </w:tcBorders>
            <w:shd w:val="clear" w:color="auto" w:fill="FFFFFF"/>
            <w:tcMar>
              <w:left w:w="80" w:type="dxa"/>
              <w:right w:w="80" w:type="dxa"/>
            </w:tcMar>
            <w:vAlign w:val="bottom"/>
          </w:tcPr>
          <w:p w:rsidR="007B32C3" w:rsidRPr="007B32C3" w:rsidRDefault="007B32C3" w:rsidP="007B32C3">
            <w:pPr>
              <w:autoSpaceDE w:val="0"/>
              <w:autoSpaceDN w:val="0"/>
              <w:adjustRightInd w:val="0"/>
              <w:spacing w:before="80" w:after="80"/>
              <w:jc w:val="right"/>
              <w:rPr>
                <w:rFonts w:ascii="Calibri" w:hAnsi="Calibri" w:cs="Calibri"/>
                <w:color w:val="000000"/>
                <w:sz w:val="20"/>
                <w:szCs w:val="20"/>
              </w:rPr>
            </w:pPr>
            <w:r w:rsidRPr="007B32C3">
              <w:rPr>
                <w:rFonts w:ascii="Calibri" w:hAnsi="Calibri" w:cs="Calibri"/>
                <w:color w:val="000000"/>
                <w:sz w:val="20"/>
                <w:szCs w:val="20"/>
              </w:rPr>
              <w:t>100%</w:t>
            </w:r>
          </w:p>
        </w:tc>
        <w:tc>
          <w:tcPr>
            <w:tcW w:w="962" w:type="dxa"/>
            <w:tcBorders>
              <w:top w:val="nil"/>
              <w:left w:val="nil"/>
              <w:bottom w:val="nil"/>
              <w:right w:val="nil"/>
            </w:tcBorders>
            <w:shd w:val="clear" w:color="auto" w:fill="FFFFFF"/>
            <w:tcMar>
              <w:left w:w="80" w:type="dxa"/>
              <w:right w:w="80" w:type="dxa"/>
            </w:tcMar>
            <w:vAlign w:val="bottom"/>
          </w:tcPr>
          <w:p w:rsidR="007B32C3" w:rsidRPr="007B32C3" w:rsidRDefault="007B32C3" w:rsidP="007B32C3">
            <w:pPr>
              <w:autoSpaceDE w:val="0"/>
              <w:autoSpaceDN w:val="0"/>
              <w:adjustRightInd w:val="0"/>
              <w:spacing w:before="80" w:after="80"/>
              <w:jc w:val="right"/>
              <w:rPr>
                <w:rFonts w:ascii="Calibri" w:hAnsi="Calibri" w:cs="Calibri"/>
                <w:color w:val="000000"/>
                <w:sz w:val="20"/>
                <w:szCs w:val="20"/>
              </w:rPr>
            </w:pPr>
            <w:r w:rsidRPr="007B32C3">
              <w:rPr>
                <w:rFonts w:ascii="Calibri" w:hAnsi="Calibri" w:cs="Calibri"/>
                <w:color w:val="000000"/>
                <w:sz w:val="20"/>
                <w:szCs w:val="20"/>
              </w:rPr>
              <w:t>100%</w:t>
            </w:r>
          </w:p>
        </w:tc>
      </w:tr>
      <w:tr w:rsidR="007B32C3" w:rsidRPr="007B32C3" w:rsidTr="0054753A">
        <w:trPr>
          <w:cantSplit/>
        </w:trPr>
        <w:tc>
          <w:tcPr>
            <w:tcW w:w="2564" w:type="dxa"/>
            <w:tcBorders>
              <w:top w:val="nil"/>
              <w:left w:val="nil"/>
              <w:bottom w:val="nil"/>
              <w:right w:val="nil"/>
            </w:tcBorders>
            <w:shd w:val="clear" w:color="auto" w:fill="FFFFFF"/>
            <w:tcMar>
              <w:left w:w="80" w:type="dxa"/>
              <w:right w:w="80" w:type="dxa"/>
            </w:tcMar>
          </w:tcPr>
          <w:p w:rsidR="007B32C3" w:rsidRPr="007B32C3" w:rsidRDefault="007B32C3" w:rsidP="007B32C3">
            <w:pPr>
              <w:autoSpaceDE w:val="0"/>
              <w:autoSpaceDN w:val="0"/>
              <w:adjustRightInd w:val="0"/>
              <w:spacing w:before="80" w:after="80"/>
              <w:rPr>
                <w:rFonts w:ascii="Calibri" w:hAnsi="Calibri" w:cs="Calibri"/>
                <w:b/>
                <w:bCs/>
                <w:color w:val="000000"/>
                <w:sz w:val="22"/>
                <w:szCs w:val="22"/>
              </w:rPr>
            </w:pPr>
            <w:r w:rsidRPr="007B32C3">
              <w:rPr>
                <w:rFonts w:ascii="Calibri" w:hAnsi="Calibri" w:cs="Calibri"/>
                <w:b/>
                <w:bCs/>
                <w:color w:val="000000"/>
                <w:sz w:val="22"/>
                <w:szCs w:val="22"/>
              </w:rPr>
              <w:t>Average spread (cents)</w:t>
            </w:r>
          </w:p>
        </w:tc>
        <w:tc>
          <w:tcPr>
            <w:tcW w:w="741" w:type="dxa"/>
            <w:tcBorders>
              <w:top w:val="nil"/>
              <w:left w:val="nil"/>
              <w:bottom w:val="nil"/>
              <w:right w:val="nil"/>
            </w:tcBorders>
            <w:shd w:val="clear" w:color="auto" w:fill="FFFFFF"/>
            <w:tcMar>
              <w:left w:w="80" w:type="dxa"/>
              <w:right w:w="80" w:type="dxa"/>
            </w:tcMar>
            <w:vAlign w:val="bottom"/>
          </w:tcPr>
          <w:p w:rsidR="007B32C3" w:rsidRPr="007B32C3" w:rsidRDefault="007B32C3" w:rsidP="007B32C3">
            <w:pPr>
              <w:autoSpaceDE w:val="0"/>
              <w:autoSpaceDN w:val="0"/>
              <w:adjustRightInd w:val="0"/>
              <w:spacing w:before="80" w:after="80"/>
              <w:jc w:val="right"/>
              <w:rPr>
                <w:rFonts w:ascii="Calibri" w:hAnsi="Calibri" w:cs="Calibri"/>
                <w:color w:val="000000"/>
                <w:sz w:val="20"/>
                <w:szCs w:val="20"/>
              </w:rPr>
            </w:pPr>
            <w:r w:rsidRPr="007B32C3">
              <w:rPr>
                <w:rFonts w:ascii="Calibri" w:hAnsi="Calibri" w:cs="Calibri"/>
                <w:color w:val="000000"/>
                <w:sz w:val="20"/>
                <w:szCs w:val="20"/>
              </w:rPr>
              <w:t>1.0</w:t>
            </w:r>
            <w:r w:rsidR="00C6120D">
              <w:rPr>
                <w:rFonts w:ascii="Calibri" w:hAnsi="Calibri" w:cs="Calibri"/>
                <w:color w:val="000000"/>
                <w:sz w:val="20"/>
                <w:szCs w:val="20"/>
              </w:rPr>
              <w:t>2</w:t>
            </w:r>
          </w:p>
        </w:tc>
        <w:tc>
          <w:tcPr>
            <w:tcW w:w="741" w:type="dxa"/>
            <w:tcBorders>
              <w:top w:val="nil"/>
              <w:left w:val="nil"/>
              <w:bottom w:val="nil"/>
              <w:right w:val="nil"/>
            </w:tcBorders>
            <w:shd w:val="clear" w:color="auto" w:fill="FFFFFF"/>
            <w:tcMar>
              <w:left w:w="80" w:type="dxa"/>
              <w:right w:w="80" w:type="dxa"/>
            </w:tcMar>
            <w:vAlign w:val="bottom"/>
          </w:tcPr>
          <w:p w:rsidR="007B32C3" w:rsidRPr="007B32C3" w:rsidRDefault="007B32C3" w:rsidP="007B32C3">
            <w:pPr>
              <w:autoSpaceDE w:val="0"/>
              <w:autoSpaceDN w:val="0"/>
              <w:adjustRightInd w:val="0"/>
              <w:spacing w:before="80" w:after="80"/>
              <w:jc w:val="right"/>
              <w:rPr>
                <w:rFonts w:ascii="Calibri" w:hAnsi="Calibri" w:cs="Calibri"/>
                <w:color w:val="000000"/>
                <w:sz w:val="20"/>
                <w:szCs w:val="20"/>
              </w:rPr>
            </w:pPr>
            <w:r w:rsidRPr="007B32C3">
              <w:rPr>
                <w:rFonts w:ascii="Calibri" w:hAnsi="Calibri" w:cs="Calibri"/>
                <w:color w:val="000000"/>
                <w:sz w:val="20"/>
                <w:szCs w:val="20"/>
              </w:rPr>
              <w:t>1.0</w:t>
            </w:r>
            <w:r w:rsidR="00C6120D">
              <w:rPr>
                <w:rFonts w:ascii="Calibri" w:hAnsi="Calibri" w:cs="Calibri"/>
                <w:color w:val="000000"/>
                <w:sz w:val="20"/>
                <w:szCs w:val="20"/>
              </w:rPr>
              <w:t>0</w:t>
            </w:r>
          </w:p>
        </w:tc>
        <w:tc>
          <w:tcPr>
            <w:tcW w:w="741" w:type="dxa"/>
            <w:tcBorders>
              <w:top w:val="nil"/>
              <w:left w:val="nil"/>
              <w:bottom w:val="nil"/>
              <w:right w:val="nil"/>
            </w:tcBorders>
            <w:shd w:val="clear" w:color="auto" w:fill="FFFFFF"/>
            <w:tcMar>
              <w:left w:w="80" w:type="dxa"/>
              <w:right w:w="80" w:type="dxa"/>
            </w:tcMar>
            <w:vAlign w:val="bottom"/>
          </w:tcPr>
          <w:p w:rsidR="007B32C3" w:rsidRPr="007B32C3" w:rsidRDefault="007B32C3" w:rsidP="007B32C3">
            <w:pPr>
              <w:autoSpaceDE w:val="0"/>
              <w:autoSpaceDN w:val="0"/>
              <w:adjustRightInd w:val="0"/>
              <w:spacing w:before="80" w:after="80"/>
              <w:jc w:val="right"/>
              <w:rPr>
                <w:rFonts w:ascii="Calibri" w:hAnsi="Calibri" w:cs="Calibri"/>
                <w:color w:val="000000"/>
                <w:sz w:val="20"/>
                <w:szCs w:val="20"/>
              </w:rPr>
            </w:pPr>
            <w:r w:rsidRPr="007B32C3">
              <w:rPr>
                <w:rFonts w:ascii="Calibri" w:hAnsi="Calibri" w:cs="Calibri"/>
                <w:color w:val="000000"/>
                <w:sz w:val="20"/>
                <w:szCs w:val="20"/>
              </w:rPr>
              <w:t>1.0</w:t>
            </w:r>
            <w:r w:rsidR="00C6120D">
              <w:rPr>
                <w:rFonts w:ascii="Calibri" w:hAnsi="Calibri" w:cs="Calibri"/>
                <w:color w:val="000000"/>
                <w:sz w:val="20"/>
                <w:szCs w:val="20"/>
              </w:rPr>
              <w:t>0</w:t>
            </w:r>
          </w:p>
        </w:tc>
        <w:tc>
          <w:tcPr>
            <w:tcW w:w="741" w:type="dxa"/>
            <w:tcBorders>
              <w:top w:val="nil"/>
              <w:left w:val="nil"/>
              <w:bottom w:val="nil"/>
              <w:right w:val="nil"/>
            </w:tcBorders>
            <w:shd w:val="clear" w:color="auto" w:fill="FFFFFF"/>
            <w:tcMar>
              <w:left w:w="80" w:type="dxa"/>
              <w:right w:w="80" w:type="dxa"/>
            </w:tcMar>
            <w:vAlign w:val="bottom"/>
          </w:tcPr>
          <w:p w:rsidR="007B32C3" w:rsidRPr="007B32C3" w:rsidRDefault="007B32C3" w:rsidP="007B32C3">
            <w:pPr>
              <w:autoSpaceDE w:val="0"/>
              <w:autoSpaceDN w:val="0"/>
              <w:adjustRightInd w:val="0"/>
              <w:spacing w:before="80" w:after="80"/>
              <w:jc w:val="right"/>
              <w:rPr>
                <w:rFonts w:ascii="Calibri" w:hAnsi="Calibri" w:cs="Calibri"/>
                <w:color w:val="000000"/>
                <w:sz w:val="20"/>
                <w:szCs w:val="20"/>
              </w:rPr>
            </w:pPr>
            <w:r w:rsidRPr="007B32C3">
              <w:rPr>
                <w:rFonts w:ascii="Calibri" w:hAnsi="Calibri" w:cs="Calibri"/>
                <w:color w:val="000000"/>
                <w:sz w:val="20"/>
                <w:szCs w:val="20"/>
              </w:rPr>
              <w:t>1.0</w:t>
            </w:r>
            <w:r w:rsidR="00C6120D">
              <w:rPr>
                <w:rFonts w:ascii="Calibri" w:hAnsi="Calibri" w:cs="Calibri"/>
                <w:color w:val="000000"/>
                <w:sz w:val="20"/>
                <w:szCs w:val="20"/>
              </w:rPr>
              <w:t>0</w:t>
            </w:r>
          </w:p>
        </w:tc>
        <w:tc>
          <w:tcPr>
            <w:tcW w:w="891" w:type="dxa"/>
            <w:tcBorders>
              <w:top w:val="nil"/>
              <w:left w:val="nil"/>
              <w:bottom w:val="nil"/>
              <w:right w:val="nil"/>
            </w:tcBorders>
            <w:shd w:val="clear" w:color="auto" w:fill="FFFFFF"/>
            <w:tcMar>
              <w:left w:w="80" w:type="dxa"/>
              <w:right w:w="80" w:type="dxa"/>
            </w:tcMar>
            <w:vAlign w:val="bottom"/>
          </w:tcPr>
          <w:p w:rsidR="007B32C3" w:rsidRPr="007B32C3" w:rsidRDefault="007B32C3" w:rsidP="007B32C3">
            <w:pPr>
              <w:autoSpaceDE w:val="0"/>
              <w:autoSpaceDN w:val="0"/>
              <w:adjustRightInd w:val="0"/>
              <w:spacing w:before="80" w:after="80"/>
              <w:jc w:val="right"/>
              <w:rPr>
                <w:rFonts w:ascii="Calibri" w:hAnsi="Calibri" w:cs="Calibri"/>
                <w:color w:val="000000"/>
                <w:sz w:val="20"/>
                <w:szCs w:val="20"/>
              </w:rPr>
            </w:pPr>
            <w:r w:rsidRPr="007B32C3">
              <w:rPr>
                <w:rFonts w:ascii="Calibri" w:hAnsi="Calibri" w:cs="Calibri"/>
                <w:color w:val="000000"/>
                <w:sz w:val="20"/>
                <w:szCs w:val="20"/>
              </w:rPr>
              <w:t>1.0</w:t>
            </w:r>
            <w:r w:rsidR="00C6120D">
              <w:rPr>
                <w:rFonts w:ascii="Calibri" w:hAnsi="Calibri" w:cs="Calibri"/>
                <w:color w:val="000000"/>
                <w:sz w:val="20"/>
                <w:szCs w:val="20"/>
              </w:rPr>
              <w:t>0</w:t>
            </w:r>
          </w:p>
        </w:tc>
        <w:tc>
          <w:tcPr>
            <w:tcW w:w="741" w:type="dxa"/>
            <w:tcBorders>
              <w:top w:val="nil"/>
              <w:left w:val="nil"/>
              <w:bottom w:val="nil"/>
              <w:right w:val="nil"/>
            </w:tcBorders>
            <w:shd w:val="clear" w:color="auto" w:fill="FFFFFF"/>
            <w:tcMar>
              <w:left w:w="80" w:type="dxa"/>
              <w:right w:w="80" w:type="dxa"/>
            </w:tcMar>
            <w:vAlign w:val="bottom"/>
          </w:tcPr>
          <w:p w:rsidR="007B32C3" w:rsidRPr="007B32C3" w:rsidRDefault="007B32C3" w:rsidP="007B32C3">
            <w:pPr>
              <w:autoSpaceDE w:val="0"/>
              <w:autoSpaceDN w:val="0"/>
              <w:adjustRightInd w:val="0"/>
              <w:spacing w:before="80" w:after="80"/>
              <w:jc w:val="right"/>
              <w:rPr>
                <w:rFonts w:ascii="Calibri" w:hAnsi="Calibri" w:cs="Calibri"/>
                <w:color w:val="000000"/>
                <w:sz w:val="20"/>
                <w:szCs w:val="20"/>
              </w:rPr>
            </w:pPr>
            <w:r w:rsidRPr="007B32C3">
              <w:rPr>
                <w:rFonts w:ascii="Calibri" w:hAnsi="Calibri" w:cs="Calibri"/>
                <w:color w:val="000000"/>
                <w:sz w:val="20"/>
                <w:szCs w:val="20"/>
              </w:rPr>
              <w:t>1.0</w:t>
            </w:r>
            <w:r w:rsidR="00C6120D">
              <w:rPr>
                <w:rFonts w:ascii="Calibri" w:hAnsi="Calibri" w:cs="Calibri"/>
                <w:color w:val="000000"/>
                <w:sz w:val="20"/>
                <w:szCs w:val="20"/>
              </w:rPr>
              <w:t>1</w:t>
            </w:r>
          </w:p>
        </w:tc>
        <w:tc>
          <w:tcPr>
            <w:tcW w:w="844" w:type="dxa"/>
            <w:tcBorders>
              <w:top w:val="nil"/>
              <w:left w:val="nil"/>
              <w:bottom w:val="nil"/>
              <w:right w:val="nil"/>
            </w:tcBorders>
            <w:shd w:val="clear" w:color="auto" w:fill="FFFFFF"/>
            <w:tcMar>
              <w:left w:w="80" w:type="dxa"/>
              <w:right w:w="80" w:type="dxa"/>
            </w:tcMar>
            <w:vAlign w:val="bottom"/>
          </w:tcPr>
          <w:p w:rsidR="007B32C3" w:rsidRPr="007B32C3" w:rsidRDefault="007B32C3" w:rsidP="007B32C3">
            <w:pPr>
              <w:autoSpaceDE w:val="0"/>
              <w:autoSpaceDN w:val="0"/>
              <w:adjustRightInd w:val="0"/>
              <w:spacing w:before="80" w:after="80"/>
              <w:jc w:val="right"/>
              <w:rPr>
                <w:rFonts w:ascii="Calibri" w:hAnsi="Calibri" w:cs="Calibri"/>
                <w:color w:val="000000"/>
                <w:sz w:val="20"/>
                <w:szCs w:val="20"/>
              </w:rPr>
            </w:pPr>
            <w:r w:rsidRPr="007B32C3">
              <w:rPr>
                <w:rFonts w:ascii="Calibri" w:hAnsi="Calibri" w:cs="Calibri"/>
                <w:color w:val="000000"/>
                <w:sz w:val="20"/>
                <w:szCs w:val="20"/>
              </w:rPr>
              <w:t>1.0</w:t>
            </w:r>
            <w:r w:rsidR="00C6120D">
              <w:rPr>
                <w:rFonts w:ascii="Calibri" w:hAnsi="Calibri" w:cs="Calibri"/>
                <w:color w:val="000000"/>
                <w:sz w:val="20"/>
                <w:szCs w:val="20"/>
              </w:rPr>
              <w:t>5</w:t>
            </w:r>
          </w:p>
        </w:tc>
        <w:tc>
          <w:tcPr>
            <w:tcW w:w="962" w:type="dxa"/>
            <w:tcBorders>
              <w:top w:val="nil"/>
              <w:left w:val="nil"/>
              <w:bottom w:val="nil"/>
              <w:right w:val="nil"/>
            </w:tcBorders>
            <w:shd w:val="clear" w:color="auto" w:fill="FFFFFF"/>
            <w:tcMar>
              <w:left w:w="80" w:type="dxa"/>
              <w:right w:w="80" w:type="dxa"/>
            </w:tcMar>
            <w:vAlign w:val="bottom"/>
          </w:tcPr>
          <w:p w:rsidR="007B32C3" w:rsidRPr="007B32C3" w:rsidRDefault="007B32C3" w:rsidP="00C6120D">
            <w:pPr>
              <w:autoSpaceDE w:val="0"/>
              <w:autoSpaceDN w:val="0"/>
              <w:adjustRightInd w:val="0"/>
              <w:spacing w:before="80" w:after="80"/>
              <w:jc w:val="right"/>
              <w:rPr>
                <w:rFonts w:ascii="Calibri" w:hAnsi="Calibri" w:cs="Calibri"/>
                <w:color w:val="000000"/>
                <w:sz w:val="20"/>
                <w:szCs w:val="20"/>
              </w:rPr>
            </w:pPr>
            <w:r w:rsidRPr="007B32C3">
              <w:rPr>
                <w:rFonts w:ascii="Calibri" w:hAnsi="Calibri" w:cs="Calibri"/>
                <w:color w:val="000000"/>
                <w:sz w:val="20"/>
                <w:szCs w:val="20"/>
              </w:rPr>
              <w:t>1.</w:t>
            </w:r>
            <w:r w:rsidR="00C6120D">
              <w:rPr>
                <w:rFonts w:ascii="Calibri" w:hAnsi="Calibri" w:cs="Calibri"/>
                <w:color w:val="000000"/>
                <w:sz w:val="20"/>
                <w:szCs w:val="20"/>
              </w:rPr>
              <w:t>38</w:t>
            </w:r>
          </w:p>
        </w:tc>
      </w:tr>
      <w:tr w:rsidR="007B32C3" w:rsidRPr="007B32C3" w:rsidTr="0054753A">
        <w:trPr>
          <w:cantSplit/>
        </w:trPr>
        <w:tc>
          <w:tcPr>
            <w:tcW w:w="2564" w:type="dxa"/>
            <w:tcBorders>
              <w:top w:val="nil"/>
              <w:left w:val="nil"/>
              <w:bottom w:val="nil"/>
              <w:right w:val="nil"/>
            </w:tcBorders>
            <w:shd w:val="clear" w:color="auto" w:fill="FFFFFF"/>
            <w:tcMar>
              <w:left w:w="80" w:type="dxa"/>
              <w:right w:w="80" w:type="dxa"/>
            </w:tcMar>
          </w:tcPr>
          <w:p w:rsidR="007B32C3" w:rsidRPr="007B32C3" w:rsidRDefault="007B32C3" w:rsidP="007B32C3">
            <w:pPr>
              <w:autoSpaceDE w:val="0"/>
              <w:autoSpaceDN w:val="0"/>
              <w:adjustRightInd w:val="0"/>
              <w:spacing w:before="80" w:after="80"/>
              <w:rPr>
                <w:rFonts w:ascii="Calibri" w:hAnsi="Calibri" w:cs="Calibri"/>
                <w:b/>
                <w:bCs/>
                <w:color w:val="000000"/>
                <w:sz w:val="22"/>
                <w:szCs w:val="22"/>
              </w:rPr>
            </w:pPr>
            <w:r w:rsidRPr="007B32C3">
              <w:rPr>
                <w:rFonts w:ascii="Calibri" w:hAnsi="Calibri" w:cs="Calibri"/>
                <w:b/>
                <w:bCs/>
                <w:color w:val="000000"/>
                <w:sz w:val="22"/>
                <w:szCs w:val="22"/>
              </w:rPr>
              <w:t>Daily average dollar volume ($M)</w:t>
            </w:r>
          </w:p>
        </w:tc>
        <w:tc>
          <w:tcPr>
            <w:tcW w:w="741" w:type="dxa"/>
            <w:tcBorders>
              <w:top w:val="nil"/>
              <w:left w:val="nil"/>
              <w:bottom w:val="nil"/>
              <w:right w:val="nil"/>
            </w:tcBorders>
            <w:shd w:val="clear" w:color="auto" w:fill="FFFFFF"/>
            <w:tcMar>
              <w:left w:w="80" w:type="dxa"/>
              <w:right w:w="80" w:type="dxa"/>
            </w:tcMar>
            <w:vAlign w:val="bottom"/>
          </w:tcPr>
          <w:p w:rsidR="007B32C3" w:rsidRPr="007B32C3" w:rsidRDefault="007B32C3" w:rsidP="007B32C3">
            <w:pPr>
              <w:autoSpaceDE w:val="0"/>
              <w:autoSpaceDN w:val="0"/>
              <w:adjustRightInd w:val="0"/>
              <w:spacing w:before="80" w:after="80"/>
              <w:jc w:val="right"/>
              <w:rPr>
                <w:rFonts w:ascii="Calibri" w:hAnsi="Calibri" w:cs="Calibri"/>
                <w:color w:val="000000"/>
                <w:sz w:val="20"/>
                <w:szCs w:val="20"/>
              </w:rPr>
            </w:pPr>
            <w:r w:rsidRPr="007B32C3">
              <w:rPr>
                <w:rFonts w:ascii="Calibri" w:hAnsi="Calibri" w:cs="Calibri"/>
                <w:color w:val="000000"/>
                <w:sz w:val="20"/>
                <w:szCs w:val="20"/>
              </w:rPr>
              <w:t>$6.6</w:t>
            </w:r>
          </w:p>
        </w:tc>
        <w:tc>
          <w:tcPr>
            <w:tcW w:w="741" w:type="dxa"/>
            <w:tcBorders>
              <w:top w:val="nil"/>
              <w:left w:val="nil"/>
              <w:bottom w:val="nil"/>
              <w:right w:val="nil"/>
            </w:tcBorders>
            <w:shd w:val="clear" w:color="auto" w:fill="FFFFFF"/>
            <w:tcMar>
              <w:left w:w="80" w:type="dxa"/>
              <w:right w:w="80" w:type="dxa"/>
            </w:tcMar>
            <w:vAlign w:val="bottom"/>
          </w:tcPr>
          <w:p w:rsidR="007B32C3" w:rsidRPr="007B32C3" w:rsidRDefault="007B32C3" w:rsidP="007B32C3">
            <w:pPr>
              <w:autoSpaceDE w:val="0"/>
              <w:autoSpaceDN w:val="0"/>
              <w:adjustRightInd w:val="0"/>
              <w:spacing w:before="80" w:after="80"/>
              <w:jc w:val="right"/>
              <w:rPr>
                <w:rFonts w:ascii="Calibri" w:hAnsi="Calibri" w:cs="Calibri"/>
                <w:color w:val="000000"/>
                <w:sz w:val="20"/>
                <w:szCs w:val="20"/>
              </w:rPr>
            </w:pPr>
            <w:r w:rsidRPr="007B32C3">
              <w:rPr>
                <w:rFonts w:ascii="Calibri" w:hAnsi="Calibri" w:cs="Calibri"/>
                <w:color w:val="000000"/>
                <w:sz w:val="20"/>
                <w:szCs w:val="20"/>
              </w:rPr>
              <w:t>$1.0</w:t>
            </w:r>
          </w:p>
        </w:tc>
        <w:tc>
          <w:tcPr>
            <w:tcW w:w="741" w:type="dxa"/>
            <w:tcBorders>
              <w:top w:val="nil"/>
              <w:left w:val="nil"/>
              <w:bottom w:val="nil"/>
              <w:right w:val="nil"/>
            </w:tcBorders>
            <w:shd w:val="clear" w:color="auto" w:fill="FFFFFF"/>
            <w:tcMar>
              <w:left w:w="80" w:type="dxa"/>
              <w:right w:w="80" w:type="dxa"/>
            </w:tcMar>
            <w:vAlign w:val="bottom"/>
          </w:tcPr>
          <w:p w:rsidR="007B32C3" w:rsidRPr="007B32C3" w:rsidRDefault="007B32C3" w:rsidP="007B32C3">
            <w:pPr>
              <w:autoSpaceDE w:val="0"/>
              <w:autoSpaceDN w:val="0"/>
              <w:adjustRightInd w:val="0"/>
              <w:spacing w:before="80" w:after="80"/>
              <w:jc w:val="right"/>
              <w:rPr>
                <w:rFonts w:ascii="Calibri" w:hAnsi="Calibri" w:cs="Calibri"/>
                <w:color w:val="000000"/>
                <w:sz w:val="20"/>
                <w:szCs w:val="20"/>
              </w:rPr>
            </w:pPr>
            <w:r w:rsidRPr="007B32C3">
              <w:rPr>
                <w:rFonts w:ascii="Calibri" w:hAnsi="Calibri" w:cs="Calibri"/>
                <w:color w:val="000000"/>
                <w:sz w:val="20"/>
                <w:szCs w:val="20"/>
              </w:rPr>
              <w:t>$1.4</w:t>
            </w:r>
          </w:p>
        </w:tc>
        <w:tc>
          <w:tcPr>
            <w:tcW w:w="741" w:type="dxa"/>
            <w:tcBorders>
              <w:top w:val="nil"/>
              <w:left w:val="nil"/>
              <w:bottom w:val="nil"/>
              <w:right w:val="nil"/>
            </w:tcBorders>
            <w:shd w:val="clear" w:color="auto" w:fill="FFFFFF"/>
            <w:tcMar>
              <w:left w:w="80" w:type="dxa"/>
              <w:right w:w="80" w:type="dxa"/>
            </w:tcMar>
            <w:vAlign w:val="bottom"/>
          </w:tcPr>
          <w:p w:rsidR="007B32C3" w:rsidRPr="007B32C3" w:rsidRDefault="007B32C3" w:rsidP="007B32C3">
            <w:pPr>
              <w:autoSpaceDE w:val="0"/>
              <w:autoSpaceDN w:val="0"/>
              <w:adjustRightInd w:val="0"/>
              <w:spacing w:before="80" w:after="80"/>
              <w:jc w:val="right"/>
              <w:rPr>
                <w:rFonts w:ascii="Calibri" w:hAnsi="Calibri" w:cs="Calibri"/>
                <w:color w:val="000000"/>
                <w:sz w:val="20"/>
                <w:szCs w:val="20"/>
              </w:rPr>
            </w:pPr>
            <w:r w:rsidRPr="007B32C3">
              <w:rPr>
                <w:rFonts w:ascii="Calibri" w:hAnsi="Calibri" w:cs="Calibri"/>
                <w:color w:val="000000"/>
                <w:sz w:val="20"/>
                <w:szCs w:val="20"/>
              </w:rPr>
              <w:t>$1.8</w:t>
            </w:r>
          </w:p>
        </w:tc>
        <w:tc>
          <w:tcPr>
            <w:tcW w:w="891" w:type="dxa"/>
            <w:tcBorders>
              <w:top w:val="nil"/>
              <w:left w:val="nil"/>
              <w:bottom w:val="nil"/>
              <w:right w:val="nil"/>
            </w:tcBorders>
            <w:shd w:val="clear" w:color="auto" w:fill="FFFFFF"/>
            <w:tcMar>
              <w:left w:w="80" w:type="dxa"/>
              <w:right w:w="80" w:type="dxa"/>
            </w:tcMar>
            <w:vAlign w:val="bottom"/>
          </w:tcPr>
          <w:p w:rsidR="007B32C3" w:rsidRPr="007B32C3" w:rsidRDefault="007B32C3" w:rsidP="007B32C3">
            <w:pPr>
              <w:autoSpaceDE w:val="0"/>
              <w:autoSpaceDN w:val="0"/>
              <w:adjustRightInd w:val="0"/>
              <w:spacing w:before="80" w:after="80"/>
              <w:jc w:val="right"/>
              <w:rPr>
                <w:rFonts w:ascii="Calibri" w:hAnsi="Calibri" w:cs="Calibri"/>
                <w:color w:val="000000"/>
                <w:sz w:val="20"/>
                <w:szCs w:val="20"/>
              </w:rPr>
            </w:pPr>
            <w:r w:rsidRPr="007B32C3">
              <w:rPr>
                <w:rFonts w:ascii="Calibri" w:hAnsi="Calibri" w:cs="Calibri"/>
                <w:color w:val="000000"/>
                <w:sz w:val="20"/>
                <w:szCs w:val="20"/>
              </w:rPr>
              <w:t>$2.6</w:t>
            </w:r>
          </w:p>
        </w:tc>
        <w:tc>
          <w:tcPr>
            <w:tcW w:w="741" w:type="dxa"/>
            <w:tcBorders>
              <w:top w:val="nil"/>
              <w:left w:val="nil"/>
              <w:bottom w:val="nil"/>
              <w:right w:val="nil"/>
            </w:tcBorders>
            <w:shd w:val="clear" w:color="auto" w:fill="FFFFFF"/>
            <w:tcMar>
              <w:left w:w="80" w:type="dxa"/>
              <w:right w:w="80" w:type="dxa"/>
            </w:tcMar>
            <w:vAlign w:val="bottom"/>
          </w:tcPr>
          <w:p w:rsidR="007B32C3" w:rsidRPr="007B32C3" w:rsidRDefault="007B32C3" w:rsidP="007B32C3">
            <w:pPr>
              <w:autoSpaceDE w:val="0"/>
              <w:autoSpaceDN w:val="0"/>
              <w:adjustRightInd w:val="0"/>
              <w:spacing w:before="80" w:after="80"/>
              <w:jc w:val="right"/>
              <w:rPr>
                <w:rFonts w:ascii="Calibri" w:hAnsi="Calibri" w:cs="Calibri"/>
                <w:color w:val="000000"/>
                <w:sz w:val="20"/>
                <w:szCs w:val="20"/>
              </w:rPr>
            </w:pPr>
            <w:r w:rsidRPr="007B32C3">
              <w:rPr>
                <w:rFonts w:ascii="Calibri" w:hAnsi="Calibri" w:cs="Calibri"/>
                <w:color w:val="000000"/>
                <w:sz w:val="20"/>
                <w:szCs w:val="20"/>
              </w:rPr>
              <w:t>$6.3</w:t>
            </w:r>
          </w:p>
        </w:tc>
        <w:tc>
          <w:tcPr>
            <w:tcW w:w="844" w:type="dxa"/>
            <w:tcBorders>
              <w:top w:val="nil"/>
              <w:left w:val="nil"/>
              <w:bottom w:val="nil"/>
              <w:right w:val="nil"/>
            </w:tcBorders>
            <w:shd w:val="clear" w:color="auto" w:fill="FFFFFF"/>
            <w:tcMar>
              <w:left w:w="80" w:type="dxa"/>
              <w:right w:w="80" w:type="dxa"/>
            </w:tcMar>
            <w:vAlign w:val="bottom"/>
          </w:tcPr>
          <w:p w:rsidR="007B32C3" w:rsidRPr="007B32C3" w:rsidRDefault="007B32C3" w:rsidP="007B32C3">
            <w:pPr>
              <w:autoSpaceDE w:val="0"/>
              <w:autoSpaceDN w:val="0"/>
              <w:adjustRightInd w:val="0"/>
              <w:spacing w:before="80" w:after="80"/>
              <w:jc w:val="right"/>
              <w:rPr>
                <w:rFonts w:ascii="Calibri" w:hAnsi="Calibri" w:cs="Calibri"/>
                <w:color w:val="000000"/>
                <w:sz w:val="20"/>
                <w:szCs w:val="20"/>
              </w:rPr>
            </w:pPr>
            <w:r w:rsidRPr="007B32C3">
              <w:rPr>
                <w:rFonts w:ascii="Calibri" w:hAnsi="Calibri" w:cs="Calibri"/>
                <w:color w:val="000000"/>
                <w:sz w:val="20"/>
                <w:szCs w:val="20"/>
              </w:rPr>
              <w:t>$10.1</w:t>
            </w:r>
          </w:p>
        </w:tc>
        <w:tc>
          <w:tcPr>
            <w:tcW w:w="962" w:type="dxa"/>
            <w:tcBorders>
              <w:top w:val="nil"/>
              <w:left w:val="nil"/>
              <w:bottom w:val="nil"/>
              <w:right w:val="nil"/>
            </w:tcBorders>
            <w:shd w:val="clear" w:color="auto" w:fill="FFFFFF"/>
            <w:tcMar>
              <w:left w:w="80" w:type="dxa"/>
              <w:right w:w="80" w:type="dxa"/>
            </w:tcMar>
            <w:vAlign w:val="bottom"/>
          </w:tcPr>
          <w:p w:rsidR="007B32C3" w:rsidRPr="007B32C3" w:rsidRDefault="007B32C3" w:rsidP="007B32C3">
            <w:pPr>
              <w:autoSpaceDE w:val="0"/>
              <w:autoSpaceDN w:val="0"/>
              <w:adjustRightInd w:val="0"/>
              <w:spacing w:before="80" w:after="80"/>
              <w:jc w:val="right"/>
              <w:rPr>
                <w:rFonts w:ascii="Calibri" w:hAnsi="Calibri" w:cs="Calibri"/>
                <w:color w:val="000000"/>
                <w:sz w:val="20"/>
                <w:szCs w:val="20"/>
              </w:rPr>
            </w:pPr>
            <w:r w:rsidRPr="007B32C3">
              <w:rPr>
                <w:rFonts w:ascii="Calibri" w:hAnsi="Calibri" w:cs="Calibri"/>
                <w:color w:val="000000"/>
                <w:sz w:val="20"/>
                <w:szCs w:val="20"/>
              </w:rPr>
              <w:t>$110.1</w:t>
            </w:r>
          </w:p>
        </w:tc>
      </w:tr>
      <w:tr w:rsidR="007B32C3" w:rsidRPr="007B32C3" w:rsidTr="0054753A">
        <w:trPr>
          <w:cantSplit/>
        </w:trPr>
        <w:tc>
          <w:tcPr>
            <w:tcW w:w="2564" w:type="dxa"/>
            <w:tcBorders>
              <w:top w:val="nil"/>
              <w:left w:val="nil"/>
              <w:bottom w:val="nil"/>
              <w:right w:val="nil"/>
            </w:tcBorders>
            <w:shd w:val="clear" w:color="auto" w:fill="FFFFFF"/>
            <w:tcMar>
              <w:left w:w="80" w:type="dxa"/>
              <w:right w:w="80" w:type="dxa"/>
            </w:tcMar>
          </w:tcPr>
          <w:p w:rsidR="007B32C3" w:rsidRPr="007B32C3" w:rsidRDefault="007B32C3" w:rsidP="007B32C3">
            <w:pPr>
              <w:autoSpaceDE w:val="0"/>
              <w:autoSpaceDN w:val="0"/>
              <w:adjustRightInd w:val="0"/>
              <w:spacing w:before="80" w:after="80"/>
              <w:rPr>
                <w:rFonts w:ascii="Calibri" w:hAnsi="Calibri" w:cs="Calibri"/>
                <w:b/>
                <w:bCs/>
                <w:color w:val="000000"/>
                <w:sz w:val="22"/>
                <w:szCs w:val="22"/>
              </w:rPr>
            </w:pPr>
            <w:r w:rsidRPr="007B32C3">
              <w:rPr>
                <w:rFonts w:ascii="Calibri" w:hAnsi="Calibri" w:cs="Calibri"/>
                <w:b/>
                <w:bCs/>
                <w:color w:val="000000"/>
                <w:sz w:val="22"/>
                <w:szCs w:val="22"/>
              </w:rPr>
              <w:t>Daily average one-second NBBO quotes</w:t>
            </w:r>
          </w:p>
        </w:tc>
        <w:tc>
          <w:tcPr>
            <w:tcW w:w="741" w:type="dxa"/>
            <w:tcBorders>
              <w:top w:val="nil"/>
              <w:left w:val="nil"/>
              <w:bottom w:val="nil"/>
              <w:right w:val="nil"/>
            </w:tcBorders>
            <w:shd w:val="clear" w:color="auto" w:fill="FFFFFF"/>
            <w:tcMar>
              <w:left w:w="80" w:type="dxa"/>
              <w:right w:w="80" w:type="dxa"/>
            </w:tcMar>
            <w:vAlign w:val="bottom"/>
          </w:tcPr>
          <w:p w:rsidR="007B32C3" w:rsidRPr="007B32C3" w:rsidRDefault="007B32C3" w:rsidP="007B32C3">
            <w:pPr>
              <w:autoSpaceDE w:val="0"/>
              <w:autoSpaceDN w:val="0"/>
              <w:adjustRightInd w:val="0"/>
              <w:spacing w:before="80" w:after="80"/>
              <w:jc w:val="right"/>
              <w:rPr>
                <w:rFonts w:ascii="Calibri" w:hAnsi="Calibri" w:cs="Calibri"/>
                <w:color w:val="000000"/>
                <w:sz w:val="20"/>
                <w:szCs w:val="20"/>
              </w:rPr>
            </w:pPr>
            <w:r w:rsidRPr="007B32C3">
              <w:rPr>
                <w:rFonts w:ascii="Calibri" w:hAnsi="Calibri" w:cs="Calibri"/>
                <w:color w:val="000000"/>
                <w:sz w:val="20"/>
                <w:szCs w:val="20"/>
              </w:rPr>
              <w:t>10,632</w:t>
            </w:r>
          </w:p>
        </w:tc>
        <w:tc>
          <w:tcPr>
            <w:tcW w:w="741" w:type="dxa"/>
            <w:tcBorders>
              <w:top w:val="nil"/>
              <w:left w:val="nil"/>
              <w:bottom w:val="nil"/>
              <w:right w:val="nil"/>
            </w:tcBorders>
            <w:shd w:val="clear" w:color="auto" w:fill="FFFFFF"/>
            <w:tcMar>
              <w:left w:w="80" w:type="dxa"/>
              <w:right w:w="80" w:type="dxa"/>
            </w:tcMar>
            <w:vAlign w:val="bottom"/>
          </w:tcPr>
          <w:p w:rsidR="007B32C3" w:rsidRPr="007B32C3" w:rsidRDefault="007B32C3" w:rsidP="007B32C3">
            <w:pPr>
              <w:autoSpaceDE w:val="0"/>
              <w:autoSpaceDN w:val="0"/>
              <w:adjustRightInd w:val="0"/>
              <w:spacing w:before="80" w:after="80"/>
              <w:jc w:val="right"/>
              <w:rPr>
                <w:rFonts w:ascii="Calibri" w:hAnsi="Calibri" w:cs="Calibri"/>
                <w:color w:val="000000"/>
                <w:sz w:val="20"/>
                <w:szCs w:val="20"/>
              </w:rPr>
            </w:pPr>
            <w:r w:rsidRPr="007B32C3">
              <w:rPr>
                <w:rFonts w:ascii="Calibri" w:hAnsi="Calibri" w:cs="Calibri"/>
                <w:color w:val="000000"/>
                <w:sz w:val="20"/>
                <w:szCs w:val="20"/>
              </w:rPr>
              <w:t>839</w:t>
            </w:r>
          </w:p>
        </w:tc>
        <w:tc>
          <w:tcPr>
            <w:tcW w:w="741" w:type="dxa"/>
            <w:tcBorders>
              <w:top w:val="nil"/>
              <w:left w:val="nil"/>
              <w:bottom w:val="nil"/>
              <w:right w:val="nil"/>
            </w:tcBorders>
            <w:shd w:val="clear" w:color="auto" w:fill="FFFFFF"/>
            <w:tcMar>
              <w:left w:w="80" w:type="dxa"/>
              <w:right w:w="80" w:type="dxa"/>
            </w:tcMar>
            <w:vAlign w:val="bottom"/>
          </w:tcPr>
          <w:p w:rsidR="007B32C3" w:rsidRPr="007B32C3" w:rsidRDefault="007B32C3" w:rsidP="007B32C3">
            <w:pPr>
              <w:autoSpaceDE w:val="0"/>
              <w:autoSpaceDN w:val="0"/>
              <w:adjustRightInd w:val="0"/>
              <w:spacing w:before="80" w:after="80"/>
              <w:jc w:val="right"/>
              <w:rPr>
                <w:rFonts w:ascii="Calibri" w:hAnsi="Calibri" w:cs="Calibri"/>
                <w:color w:val="000000"/>
                <w:sz w:val="20"/>
                <w:szCs w:val="20"/>
              </w:rPr>
            </w:pPr>
            <w:r w:rsidRPr="007B32C3">
              <w:rPr>
                <w:rFonts w:ascii="Calibri" w:hAnsi="Calibri" w:cs="Calibri"/>
                <w:color w:val="000000"/>
                <w:sz w:val="20"/>
                <w:szCs w:val="20"/>
              </w:rPr>
              <w:t>3,644</w:t>
            </w:r>
          </w:p>
        </w:tc>
        <w:tc>
          <w:tcPr>
            <w:tcW w:w="741" w:type="dxa"/>
            <w:tcBorders>
              <w:top w:val="nil"/>
              <w:left w:val="nil"/>
              <w:bottom w:val="nil"/>
              <w:right w:val="nil"/>
            </w:tcBorders>
            <w:shd w:val="clear" w:color="auto" w:fill="FFFFFF"/>
            <w:tcMar>
              <w:left w:w="80" w:type="dxa"/>
              <w:right w:w="80" w:type="dxa"/>
            </w:tcMar>
            <w:vAlign w:val="bottom"/>
          </w:tcPr>
          <w:p w:rsidR="007B32C3" w:rsidRPr="007B32C3" w:rsidRDefault="007B32C3" w:rsidP="007B32C3">
            <w:pPr>
              <w:autoSpaceDE w:val="0"/>
              <w:autoSpaceDN w:val="0"/>
              <w:adjustRightInd w:val="0"/>
              <w:spacing w:before="80" w:after="80"/>
              <w:jc w:val="right"/>
              <w:rPr>
                <w:rFonts w:ascii="Calibri" w:hAnsi="Calibri" w:cs="Calibri"/>
                <w:color w:val="000000"/>
                <w:sz w:val="20"/>
                <w:szCs w:val="20"/>
              </w:rPr>
            </w:pPr>
            <w:r w:rsidRPr="007B32C3">
              <w:rPr>
                <w:rFonts w:ascii="Calibri" w:hAnsi="Calibri" w:cs="Calibri"/>
                <w:color w:val="000000"/>
                <w:sz w:val="20"/>
                <w:szCs w:val="20"/>
              </w:rPr>
              <w:t>6,854</w:t>
            </w:r>
          </w:p>
        </w:tc>
        <w:tc>
          <w:tcPr>
            <w:tcW w:w="891" w:type="dxa"/>
            <w:tcBorders>
              <w:top w:val="nil"/>
              <w:left w:val="nil"/>
              <w:bottom w:val="nil"/>
              <w:right w:val="nil"/>
            </w:tcBorders>
            <w:shd w:val="clear" w:color="auto" w:fill="FFFFFF"/>
            <w:tcMar>
              <w:left w:w="80" w:type="dxa"/>
              <w:right w:w="80" w:type="dxa"/>
            </w:tcMar>
            <w:vAlign w:val="bottom"/>
          </w:tcPr>
          <w:p w:rsidR="007B32C3" w:rsidRPr="007B32C3" w:rsidRDefault="007B32C3" w:rsidP="007B32C3">
            <w:pPr>
              <w:autoSpaceDE w:val="0"/>
              <w:autoSpaceDN w:val="0"/>
              <w:adjustRightInd w:val="0"/>
              <w:spacing w:before="80" w:after="80"/>
              <w:jc w:val="right"/>
              <w:rPr>
                <w:rFonts w:ascii="Calibri" w:hAnsi="Calibri" w:cs="Calibri"/>
                <w:color w:val="000000"/>
                <w:sz w:val="20"/>
                <w:szCs w:val="20"/>
              </w:rPr>
            </w:pPr>
            <w:r w:rsidRPr="007B32C3">
              <w:rPr>
                <w:rFonts w:ascii="Calibri" w:hAnsi="Calibri" w:cs="Calibri"/>
                <w:color w:val="000000"/>
                <w:sz w:val="20"/>
                <w:szCs w:val="20"/>
              </w:rPr>
              <w:t>10,450</w:t>
            </w:r>
          </w:p>
        </w:tc>
        <w:tc>
          <w:tcPr>
            <w:tcW w:w="741" w:type="dxa"/>
            <w:tcBorders>
              <w:top w:val="nil"/>
              <w:left w:val="nil"/>
              <w:bottom w:val="nil"/>
              <w:right w:val="nil"/>
            </w:tcBorders>
            <w:shd w:val="clear" w:color="auto" w:fill="FFFFFF"/>
            <w:tcMar>
              <w:left w:w="80" w:type="dxa"/>
              <w:right w:w="80" w:type="dxa"/>
            </w:tcMar>
            <w:vAlign w:val="bottom"/>
          </w:tcPr>
          <w:p w:rsidR="007B32C3" w:rsidRPr="007B32C3" w:rsidRDefault="007B32C3" w:rsidP="007B32C3">
            <w:pPr>
              <w:autoSpaceDE w:val="0"/>
              <w:autoSpaceDN w:val="0"/>
              <w:adjustRightInd w:val="0"/>
              <w:spacing w:before="80" w:after="80"/>
              <w:jc w:val="right"/>
              <w:rPr>
                <w:rFonts w:ascii="Calibri" w:hAnsi="Calibri" w:cs="Calibri"/>
                <w:color w:val="000000"/>
                <w:sz w:val="20"/>
                <w:szCs w:val="20"/>
              </w:rPr>
            </w:pPr>
            <w:r w:rsidRPr="007B32C3">
              <w:rPr>
                <w:rFonts w:ascii="Calibri" w:hAnsi="Calibri" w:cs="Calibri"/>
                <w:color w:val="000000"/>
                <w:sz w:val="20"/>
                <w:szCs w:val="20"/>
              </w:rPr>
              <w:t>14,936</w:t>
            </w:r>
          </w:p>
        </w:tc>
        <w:tc>
          <w:tcPr>
            <w:tcW w:w="844" w:type="dxa"/>
            <w:tcBorders>
              <w:top w:val="nil"/>
              <w:left w:val="nil"/>
              <w:bottom w:val="nil"/>
              <w:right w:val="nil"/>
            </w:tcBorders>
            <w:shd w:val="clear" w:color="auto" w:fill="FFFFFF"/>
            <w:tcMar>
              <w:left w:w="80" w:type="dxa"/>
              <w:right w:w="80" w:type="dxa"/>
            </w:tcMar>
            <w:vAlign w:val="bottom"/>
          </w:tcPr>
          <w:p w:rsidR="007B32C3" w:rsidRPr="007B32C3" w:rsidRDefault="007B32C3" w:rsidP="007B32C3">
            <w:pPr>
              <w:autoSpaceDE w:val="0"/>
              <w:autoSpaceDN w:val="0"/>
              <w:adjustRightInd w:val="0"/>
              <w:spacing w:before="80" w:after="80"/>
              <w:jc w:val="right"/>
              <w:rPr>
                <w:rFonts w:ascii="Calibri" w:hAnsi="Calibri" w:cs="Calibri"/>
                <w:color w:val="000000"/>
                <w:sz w:val="20"/>
                <w:szCs w:val="20"/>
              </w:rPr>
            </w:pPr>
            <w:r w:rsidRPr="007B32C3">
              <w:rPr>
                <w:rFonts w:ascii="Calibri" w:hAnsi="Calibri" w:cs="Calibri"/>
                <w:color w:val="000000"/>
                <w:sz w:val="20"/>
                <w:szCs w:val="20"/>
              </w:rPr>
              <w:t>18,297</w:t>
            </w:r>
          </w:p>
        </w:tc>
        <w:tc>
          <w:tcPr>
            <w:tcW w:w="962" w:type="dxa"/>
            <w:tcBorders>
              <w:top w:val="nil"/>
              <w:left w:val="nil"/>
              <w:bottom w:val="nil"/>
              <w:right w:val="nil"/>
            </w:tcBorders>
            <w:shd w:val="clear" w:color="auto" w:fill="FFFFFF"/>
            <w:tcMar>
              <w:left w:w="80" w:type="dxa"/>
              <w:right w:w="80" w:type="dxa"/>
            </w:tcMar>
            <w:vAlign w:val="bottom"/>
          </w:tcPr>
          <w:p w:rsidR="007B32C3" w:rsidRPr="007B32C3" w:rsidRDefault="007B32C3" w:rsidP="007B32C3">
            <w:pPr>
              <w:autoSpaceDE w:val="0"/>
              <w:autoSpaceDN w:val="0"/>
              <w:adjustRightInd w:val="0"/>
              <w:spacing w:before="80" w:after="80"/>
              <w:jc w:val="right"/>
              <w:rPr>
                <w:rFonts w:ascii="Calibri" w:hAnsi="Calibri" w:cs="Calibri"/>
                <w:color w:val="000000"/>
                <w:sz w:val="20"/>
                <w:szCs w:val="20"/>
              </w:rPr>
            </w:pPr>
            <w:r w:rsidRPr="007B32C3">
              <w:rPr>
                <w:rFonts w:ascii="Calibri" w:hAnsi="Calibri" w:cs="Calibri"/>
                <w:color w:val="000000"/>
                <w:sz w:val="20"/>
                <w:szCs w:val="20"/>
              </w:rPr>
              <w:t>18,297</w:t>
            </w:r>
          </w:p>
        </w:tc>
      </w:tr>
      <w:tr w:rsidR="007B32C3" w:rsidRPr="007B32C3" w:rsidTr="0054753A">
        <w:trPr>
          <w:cantSplit/>
        </w:trPr>
        <w:tc>
          <w:tcPr>
            <w:tcW w:w="2564" w:type="dxa"/>
            <w:tcBorders>
              <w:top w:val="nil"/>
              <w:left w:val="nil"/>
              <w:bottom w:val="nil"/>
              <w:right w:val="nil"/>
            </w:tcBorders>
            <w:shd w:val="clear" w:color="auto" w:fill="FFFFFF"/>
            <w:tcMar>
              <w:left w:w="80" w:type="dxa"/>
              <w:right w:w="80" w:type="dxa"/>
            </w:tcMar>
          </w:tcPr>
          <w:p w:rsidR="007B32C3" w:rsidRPr="007B32C3" w:rsidRDefault="007B32C3" w:rsidP="007B32C3">
            <w:pPr>
              <w:autoSpaceDE w:val="0"/>
              <w:autoSpaceDN w:val="0"/>
              <w:adjustRightInd w:val="0"/>
              <w:spacing w:before="80" w:after="80"/>
              <w:rPr>
                <w:rFonts w:ascii="Calibri" w:hAnsi="Calibri" w:cs="Calibri"/>
                <w:b/>
                <w:bCs/>
                <w:color w:val="000000"/>
                <w:sz w:val="22"/>
                <w:szCs w:val="22"/>
              </w:rPr>
            </w:pPr>
            <w:r w:rsidRPr="007B32C3">
              <w:rPr>
                <w:rFonts w:ascii="Calibri" w:hAnsi="Calibri" w:cs="Calibri"/>
                <w:b/>
                <w:bCs/>
                <w:color w:val="000000"/>
                <w:sz w:val="22"/>
                <w:szCs w:val="22"/>
              </w:rPr>
              <w:t>Daily average number of trades</w:t>
            </w:r>
          </w:p>
        </w:tc>
        <w:tc>
          <w:tcPr>
            <w:tcW w:w="741" w:type="dxa"/>
            <w:tcBorders>
              <w:top w:val="nil"/>
              <w:left w:val="nil"/>
              <w:bottom w:val="nil"/>
              <w:right w:val="nil"/>
            </w:tcBorders>
            <w:shd w:val="clear" w:color="auto" w:fill="FFFFFF"/>
            <w:tcMar>
              <w:left w:w="80" w:type="dxa"/>
              <w:right w:w="80" w:type="dxa"/>
            </w:tcMar>
            <w:vAlign w:val="bottom"/>
          </w:tcPr>
          <w:p w:rsidR="007B32C3" w:rsidRPr="007B32C3" w:rsidRDefault="007B32C3" w:rsidP="007B32C3">
            <w:pPr>
              <w:autoSpaceDE w:val="0"/>
              <w:autoSpaceDN w:val="0"/>
              <w:adjustRightInd w:val="0"/>
              <w:spacing w:before="80" w:after="80"/>
              <w:jc w:val="right"/>
              <w:rPr>
                <w:rFonts w:ascii="Calibri" w:hAnsi="Calibri" w:cs="Calibri"/>
                <w:color w:val="000000"/>
                <w:sz w:val="20"/>
                <w:szCs w:val="20"/>
              </w:rPr>
            </w:pPr>
            <w:r w:rsidRPr="007B32C3">
              <w:rPr>
                <w:rFonts w:ascii="Calibri" w:hAnsi="Calibri" w:cs="Calibri"/>
                <w:color w:val="000000"/>
                <w:sz w:val="20"/>
                <w:szCs w:val="20"/>
              </w:rPr>
              <w:t>6,163</w:t>
            </w:r>
          </w:p>
        </w:tc>
        <w:tc>
          <w:tcPr>
            <w:tcW w:w="741" w:type="dxa"/>
            <w:tcBorders>
              <w:top w:val="nil"/>
              <w:left w:val="nil"/>
              <w:bottom w:val="nil"/>
              <w:right w:val="nil"/>
            </w:tcBorders>
            <w:shd w:val="clear" w:color="auto" w:fill="FFFFFF"/>
            <w:tcMar>
              <w:left w:w="80" w:type="dxa"/>
              <w:right w:w="80" w:type="dxa"/>
            </w:tcMar>
            <w:vAlign w:val="bottom"/>
          </w:tcPr>
          <w:p w:rsidR="007B32C3" w:rsidRPr="007B32C3" w:rsidRDefault="007B32C3" w:rsidP="007B32C3">
            <w:pPr>
              <w:autoSpaceDE w:val="0"/>
              <w:autoSpaceDN w:val="0"/>
              <w:adjustRightInd w:val="0"/>
              <w:spacing w:before="80" w:after="80"/>
              <w:jc w:val="right"/>
              <w:rPr>
                <w:rFonts w:ascii="Calibri" w:hAnsi="Calibri" w:cs="Calibri"/>
                <w:color w:val="000000"/>
                <w:sz w:val="20"/>
                <w:szCs w:val="20"/>
              </w:rPr>
            </w:pPr>
            <w:r w:rsidRPr="007B32C3">
              <w:rPr>
                <w:rFonts w:ascii="Calibri" w:hAnsi="Calibri" w:cs="Calibri"/>
                <w:color w:val="000000"/>
                <w:sz w:val="20"/>
                <w:szCs w:val="20"/>
              </w:rPr>
              <w:t>4</w:t>
            </w:r>
          </w:p>
        </w:tc>
        <w:tc>
          <w:tcPr>
            <w:tcW w:w="741" w:type="dxa"/>
            <w:tcBorders>
              <w:top w:val="nil"/>
              <w:left w:val="nil"/>
              <w:bottom w:val="nil"/>
              <w:right w:val="nil"/>
            </w:tcBorders>
            <w:shd w:val="clear" w:color="auto" w:fill="FFFFFF"/>
            <w:tcMar>
              <w:left w:w="80" w:type="dxa"/>
              <w:right w:w="80" w:type="dxa"/>
            </w:tcMar>
            <w:vAlign w:val="bottom"/>
          </w:tcPr>
          <w:p w:rsidR="007B32C3" w:rsidRPr="007B32C3" w:rsidRDefault="007B32C3" w:rsidP="007B32C3">
            <w:pPr>
              <w:autoSpaceDE w:val="0"/>
              <w:autoSpaceDN w:val="0"/>
              <w:adjustRightInd w:val="0"/>
              <w:spacing w:before="80" w:after="80"/>
              <w:jc w:val="right"/>
              <w:rPr>
                <w:rFonts w:ascii="Calibri" w:hAnsi="Calibri" w:cs="Calibri"/>
                <w:color w:val="000000"/>
                <w:sz w:val="20"/>
                <w:szCs w:val="20"/>
              </w:rPr>
            </w:pPr>
            <w:r w:rsidRPr="007B32C3">
              <w:rPr>
                <w:rFonts w:ascii="Calibri" w:hAnsi="Calibri" w:cs="Calibri"/>
                <w:color w:val="000000"/>
                <w:sz w:val="20"/>
                <w:szCs w:val="20"/>
              </w:rPr>
              <w:t>1,022</w:t>
            </w:r>
          </w:p>
        </w:tc>
        <w:tc>
          <w:tcPr>
            <w:tcW w:w="741" w:type="dxa"/>
            <w:tcBorders>
              <w:top w:val="nil"/>
              <w:left w:val="nil"/>
              <w:bottom w:val="nil"/>
              <w:right w:val="nil"/>
            </w:tcBorders>
            <w:shd w:val="clear" w:color="auto" w:fill="FFFFFF"/>
            <w:tcMar>
              <w:left w:w="80" w:type="dxa"/>
              <w:right w:w="80" w:type="dxa"/>
            </w:tcMar>
            <w:vAlign w:val="bottom"/>
          </w:tcPr>
          <w:p w:rsidR="007B32C3" w:rsidRPr="007B32C3" w:rsidRDefault="007B32C3" w:rsidP="007B32C3">
            <w:pPr>
              <w:autoSpaceDE w:val="0"/>
              <w:autoSpaceDN w:val="0"/>
              <w:adjustRightInd w:val="0"/>
              <w:spacing w:before="80" w:after="80"/>
              <w:jc w:val="right"/>
              <w:rPr>
                <w:rFonts w:ascii="Calibri" w:hAnsi="Calibri" w:cs="Calibri"/>
                <w:color w:val="000000"/>
                <w:sz w:val="20"/>
                <w:szCs w:val="20"/>
              </w:rPr>
            </w:pPr>
            <w:r w:rsidRPr="007B32C3">
              <w:rPr>
                <w:rFonts w:ascii="Calibri" w:hAnsi="Calibri" w:cs="Calibri"/>
                <w:color w:val="000000"/>
                <w:sz w:val="20"/>
                <w:szCs w:val="20"/>
              </w:rPr>
              <w:t>1,939</w:t>
            </w:r>
          </w:p>
        </w:tc>
        <w:tc>
          <w:tcPr>
            <w:tcW w:w="891" w:type="dxa"/>
            <w:tcBorders>
              <w:top w:val="nil"/>
              <w:left w:val="nil"/>
              <w:bottom w:val="nil"/>
              <w:right w:val="nil"/>
            </w:tcBorders>
            <w:shd w:val="clear" w:color="auto" w:fill="FFFFFF"/>
            <w:tcMar>
              <w:left w:w="80" w:type="dxa"/>
              <w:right w:w="80" w:type="dxa"/>
            </w:tcMar>
            <w:vAlign w:val="bottom"/>
          </w:tcPr>
          <w:p w:rsidR="007B32C3" w:rsidRPr="007B32C3" w:rsidRDefault="007B32C3" w:rsidP="007B32C3">
            <w:pPr>
              <w:autoSpaceDE w:val="0"/>
              <w:autoSpaceDN w:val="0"/>
              <w:adjustRightInd w:val="0"/>
              <w:spacing w:before="80" w:after="80"/>
              <w:jc w:val="right"/>
              <w:rPr>
                <w:rFonts w:ascii="Calibri" w:hAnsi="Calibri" w:cs="Calibri"/>
                <w:color w:val="000000"/>
                <w:sz w:val="20"/>
                <w:szCs w:val="20"/>
              </w:rPr>
            </w:pPr>
            <w:r w:rsidRPr="007B32C3">
              <w:rPr>
                <w:rFonts w:ascii="Calibri" w:hAnsi="Calibri" w:cs="Calibri"/>
                <w:color w:val="000000"/>
                <w:sz w:val="20"/>
                <w:szCs w:val="20"/>
              </w:rPr>
              <w:t>4,327</w:t>
            </w:r>
          </w:p>
        </w:tc>
        <w:tc>
          <w:tcPr>
            <w:tcW w:w="741" w:type="dxa"/>
            <w:tcBorders>
              <w:top w:val="nil"/>
              <w:left w:val="nil"/>
              <w:bottom w:val="nil"/>
              <w:right w:val="nil"/>
            </w:tcBorders>
            <w:shd w:val="clear" w:color="auto" w:fill="FFFFFF"/>
            <w:tcMar>
              <w:left w:w="80" w:type="dxa"/>
              <w:right w:w="80" w:type="dxa"/>
            </w:tcMar>
            <w:vAlign w:val="bottom"/>
          </w:tcPr>
          <w:p w:rsidR="007B32C3" w:rsidRPr="007B32C3" w:rsidRDefault="007B32C3" w:rsidP="007B32C3">
            <w:pPr>
              <w:autoSpaceDE w:val="0"/>
              <w:autoSpaceDN w:val="0"/>
              <w:adjustRightInd w:val="0"/>
              <w:spacing w:before="80" w:after="80"/>
              <w:jc w:val="right"/>
              <w:rPr>
                <w:rFonts w:ascii="Calibri" w:hAnsi="Calibri" w:cs="Calibri"/>
                <w:color w:val="000000"/>
                <w:sz w:val="20"/>
                <w:szCs w:val="20"/>
              </w:rPr>
            </w:pPr>
            <w:r w:rsidRPr="007B32C3">
              <w:rPr>
                <w:rFonts w:ascii="Calibri" w:hAnsi="Calibri" w:cs="Calibri"/>
                <w:color w:val="000000"/>
                <w:sz w:val="20"/>
                <w:szCs w:val="20"/>
              </w:rPr>
              <w:t>7,981</w:t>
            </w:r>
          </w:p>
        </w:tc>
        <w:tc>
          <w:tcPr>
            <w:tcW w:w="844" w:type="dxa"/>
            <w:tcBorders>
              <w:top w:val="nil"/>
              <w:left w:val="nil"/>
              <w:bottom w:val="nil"/>
              <w:right w:val="nil"/>
            </w:tcBorders>
            <w:shd w:val="clear" w:color="auto" w:fill="FFFFFF"/>
            <w:tcMar>
              <w:left w:w="80" w:type="dxa"/>
              <w:right w:w="80" w:type="dxa"/>
            </w:tcMar>
            <w:vAlign w:val="bottom"/>
          </w:tcPr>
          <w:p w:rsidR="007B32C3" w:rsidRPr="007B32C3" w:rsidRDefault="007B32C3" w:rsidP="007B32C3">
            <w:pPr>
              <w:autoSpaceDE w:val="0"/>
              <w:autoSpaceDN w:val="0"/>
              <w:adjustRightInd w:val="0"/>
              <w:spacing w:before="80" w:after="80"/>
              <w:jc w:val="right"/>
              <w:rPr>
                <w:rFonts w:ascii="Calibri" w:hAnsi="Calibri" w:cs="Calibri"/>
                <w:color w:val="000000"/>
                <w:sz w:val="20"/>
                <w:szCs w:val="20"/>
              </w:rPr>
            </w:pPr>
            <w:r w:rsidRPr="007B32C3">
              <w:rPr>
                <w:rFonts w:ascii="Calibri" w:hAnsi="Calibri" w:cs="Calibri"/>
                <w:color w:val="000000"/>
                <w:sz w:val="20"/>
                <w:szCs w:val="20"/>
              </w:rPr>
              <w:t>15,280</w:t>
            </w:r>
          </w:p>
        </w:tc>
        <w:tc>
          <w:tcPr>
            <w:tcW w:w="962" w:type="dxa"/>
            <w:tcBorders>
              <w:top w:val="nil"/>
              <w:left w:val="nil"/>
              <w:bottom w:val="nil"/>
              <w:right w:val="nil"/>
            </w:tcBorders>
            <w:shd w:val="clear" w:color="auto" w:fill="FFFFFF"/>
            <w:tcMar>
              <w:left w:w="80" w:type="dxa"/>
              <w:right w:w="80" w:type="dxa"/>
            </w:tcMar>
            <w:vAlign w:val="bottom"/>
          </w:tcPr>
          <w:p w:rsidR="007B32C3" w:rsidRPr="007B32C3" w:rsidRDefault="007B32C3" w:rsidP="007B32C3">
            <w:pPr>
              <w:autoSpaceDE w:val="0"/>
              <w:autoSpaceDN w:val="0"/>
              <w:adjustRightInd w:val="0"/>
              <w:spacing w:before="80" w:after="80"/>
              <w:jc w:val="right"/>
              <w:rPr>
                <w:rFonts w:ascii="Calibri" w:hAnsi="Calibri" w:cs="Calibri"/>
                <w:color w:val="000000"/>
                <w:sz w:val="20"/>
                <w:szCs w:val="20"/>
              </w:rPr>
            </w:pPr>
            <w:r w:rsidRPr="007B32C3">
              <w:rPr>
                <w:rFonts w:ascii="Calibri" w:hAnsi="Calibri" w:cs="Calibri"/>
                <w:color w:val="000000"/>
                <w:sz w:val="20"/>
                <w:szCs w:val="20"/>
              </w:rPr>
              <w:t>15,280</w:t>
            </w:r>
          </w:p>
        </w:tc>
      </w:tr>
      <w:tr w:rsidR="007B32C3" w:rsidRPr="007B32C3" w:rsidTr="0054753A">
        <w:trPr>
          <w:cantSplit/>
        </w:trPr>
        <w:tc>
          <w:tcPr>
            <w:tcW w:w="2564" w:type="dxa"/>
            <w:tcBorders>
              <w:top w:val="nil"/>
              <w:left w:val="nil"/>
              <w:bottom w:val="nil"/>
              <w:right w:val="nil"/>
            </w:tcBorders>
            <w:shd w:val="clear" w:color="auto" w:fill="FFFFFF"/>
            <w:tcMar>
              <w:left w:w="80" w:type="dxa"/>
              <w:right w:w="80" w:type="dxa"/>
            </w:tcMar>
          </w:tcPr>
          <w:p w:rsidR="007B32C3" w:rsidRPr="007B32C3" w:rsidRDefault="007B32C3" w:rsidP="007B32C3">
            <w:pPr>
              <w:autoSpaceDE w:val="0"/>
              <w:autoSpaceDN w:val="0"/>
              <w:adjustRightInd w:val="0"/>
              <w:spacing w:before="80" w:after="80"/>
              <w:rPr>
                <w:rFonts w:ascii="Calibri" w:hAnsi="Calibri" w:cs="Calibri"/>
                <w:b/>
                <w:bCs/>
                <w:color w:val="000000"/>
                <w:sz w:val="22"/>
                <w:szCs w:val="22"/>
              </w:rPr>
            </w:pPr>
            <w:r w:rsidRPr="007B32C3">
              <w:rPr>
                <w:rFonts w:ascii="Calibri" w:hAnsi="Calibri" w:cs="Calibri"/>
                <w:b/>
                <w:bCs/>
                <w:color w:val="000000"/>
                <w:sz w:val="22"/>
                <w:szCs w:val="22"/>
              </w:rPr>
              <w:t>Daily average dollar quote size</w:t>
            </w:r>
          </w:p>
        </w:tc>
        <w:tc>
          <w:tcPr>
            <w:tcW w:w="741" w:type="dxa"/>
            <w:tcBorders>
              <w:top w:val="nil"/>
              <w:left w:val="nil"/>
              <w:bottom w:val="nil"/>
              <w:right w:val="nil"/>
            </w:tcBorders>
            <w:shd w:val="clear" w:color="auto" w:fill="FFFFFF"/>
            <w:tcMar>
              <w:left w:w="80" w:type="dxa"/>
              <w:right w:w="80" w:type="dxa"/>
            </w:tcMar>
            <w:vAlign w:val="bottom"/>
          </w:tcPr>
          <w:p w:rsidR="007B32C3" w:rsidRPr="007B32C3" w:rsidRDefault="007B32C3" w:rsidP="007B32C3">
            <w:pPr>
              <w:autoSpaceDE w:val="0"/>
              <w:autoSpaceDN w:val="0"/>
              <w:adjustRightInd w:val="0"/>
              <w:spacing w:before="80" w:after="80"/>
              <w:jc w:val="right"/>
              <w:rPr>
                <w:rFonts w:ascii="Calibri" w:hAnsi="Calibri" w:cs="Calibri"/>
                <w:color w:val="000000"/>
                <w:sz w:val="20"/>
                <w:szCs w:val="20"/>
              </w:rPr>
            </w:pPr>
            <w:r w:rsidRPr="007B32C3">
              <w:rPr>
                <w:rFonts w:ascii="Calibri" w:hAnsi="Calibri" w:cs="Calibri"/>
                <w:color w:val="000000"/>
                <w:sz w:val="20"/>
                <w:szCs w:val="20"/>
              </w:rPr>
              <w:t>$3,449</w:t>
            </w:r>
          </w:p>
        </w:tc>
        <w:tc>
          <w:tcPr>
            <w:tcW w:w="741" w:type="dxa"/>
            <w:tcBorders>
              <w:top w:val="nil"/>
              <w:left w:val="nil"/>
              <w:bottom w:val="nil"/>
              <w:right w:val="nil"/>
            </w:tcBorders>
            <w:shd w:val="clear" w:color="auto" w:fill="FFFFFF"/>
            <w:tcMar>
              <w:left w:w="80" w:type="dxa"/>
              <w:right w:w="80" w:type="dxa"/>
            </w:tcMar>
            <w:vAlign w:val="bottom"/>
          </w:tcPr>
          <w:p w:rsidR="007B32C3" w:rsidRPr="007B32C3" w:rsidRDefault="007B32C3" w:rsidP="007B32C3">
            <w:pPr>
              <w:autoSpaceDE w:val="0"/>
              <w:autoSpaceDN w:val="0"/>
              <w:adjustRightInd w:val="0"/>
              <w:spacing w:before="80" w:after="80"/>
              <w:jc w:val="right"/>
              <w:rPr>
                <w:rFonts w:ascii="Calibri" w:hAnsi="Calibri" w:cs="Calibri"/>
                <w:color w:val="000000"/>
                <w:sz w:val="20"/>
                <w:szCs w:val="20"/>
              </w:rPr>
            </w:pPr>
            <w:r w:rsidRPr="007B32C3">
              <w:rPr>
                <w:rFonts w:ascii="Calibri" w:hAnsi="Calibri" w:cs="Calibri"/>
                <w:color w:val="000000"/>
                <w:sz w:val="20"/>
                <w:szCs w:val="20"/>
              </w:rPr>
              <w:t>$49</w:t>
            </w:r>
          </w:p>
        </w:tc>
        <w:tc>
          <w:tcPr>
            <w:tcW w:w="741" w:type="dxa"/>
            <w:tcBorders>
              <w:top w:val="nil"/>
              <w:left w:val="nil"/>
              <w:bottom w:val="nil"/>
              <w:right w:val="nil"/>
            </w:tcBorders>
            <w:shd w:val="clear" w:color="auto" w:fill="FFFFFF"/>
            <w:tcMar>
              <w:left w:w="80" w:type="dxa"/>
              <w:right w:w="80" w:type="dxa"/>
            </w:tcMar>
            <w:vAlign w:val="bottom"/>
          </w:tcPr>
          <w:p w:rsidR="007B32C3" w:rsidRPr="007B32C3" w:rsidRDefault="007B32C3" w:rsidP="007B32C3">
            <w:pPr>
              <w:autoSpaceDE w:val="0"/>
              <w:autoSpaceDN w:val="0"/>
              <w:adjustRightInd w:val="0"/>
              <w:spacing w:before="80" w:after="80"/>
              <w:jc w:val="right"/>
              <w:rPr>
                <w:rFonts w:ascii="Calibri" w:hAnsi="Calibri" w:cs="Calibri"/>
                <w:color w:val="000000"/>
                <w:sz w:val="20"/>
                <w:szCs w:val="20"/>
              </w:rPr>
            </w:pPr>
            <w:r w:rsidRPr="007B32C3">
              <w:rPr>
                <w:rFonts w:ascii="Calibri" w:hAnsi="Calibri" w:cs="Calibri"/>
                <w:color w:val="000000"/>
                <w:sz w:val="20"/>
                <w:szCs w:val="20"/>
              </w:rPr>
              <w:t>$191</w:t>
            </w:r>
          </w:p>
        </w:tc>
        <w:tc>
          <w:tcPr>
            <w:tcW w:w="741" w:type="dxa"/>
            <w:tcBorders>
              <w:top w:val="nil"/>
              <w:left w:val="nil"/>
              <w:bottom w:val="nil"/>
              <w:right w:val="nil"/>
            </w:tcBorders>
            <w:shd w:val="clear" w:color="auto" w:fill="FFFFFF"/>
            <w:tcMar>
              <w:left w:w="80" w:type="dxa"/>
              <w:right w:w="80" w:type="dxa"/>
            </w:tcMar>
            <w:vAlign w:val="bottom"/>
          </w:tcPr>
          <w:p w:rsidR="007B32C3" w:rsidRPr="007B32C3" w:rsidRDefault="007B32C3" w:rsidP="007B32C3">
            <w:pPr>
              <w:autoSpaceDE w:val="0"/>
              <w:autoSpaceDN w:val="0"/>
              <w:adjustRightInd w:val="0"/>
              <w:spacing w:before="80" w:after="80"/>
              <w:jc w:val="right"/>
              <w:rPr>
                <w:rFonts w:ascii="Calibri" w:hAnsi="Calibri" w:cs="Calibri"/>
                <w:color w:val="000000"/>
                <w:sz w:val="20"/>
                <w:szCs w:val="20"/>
              </w:rPr>
            </w:pPr>
            <w:r w:rsidRPr="007B32C3">
              <w:rPr>
                <w:rFonts w:ascii="Calibri" w:hAnsi="Calibri" w:cs="Calibri"/>
                <w:color w:val="000000"/>
                <w:sz w:val="20"/>
                <w:szCs w:val="20"/>
              </w:rPr>
              <w:t>$373</w:t>
            </w:r>
          </w:p>
        </w:tc>
        <w:tc>
          <w:tcPr>
            <w:tcW w:w="891" w:type="dxa"/>
            <w:tcBorders>
              <w:top w:val="nil"/>
              <w:left w:val="nil"/>
              <w:bottom w:val="nil"/>
              <w:right w:val="nil"/>
            </w:tcBorders>
            <w:shd w:val="clear" w:color="auto" w:fill="FFFFFF"/>
            <w:tcMar>
              <w:left w:w="80" w:type="dxa"/>
              <w:right w:w="80" w:type="dxa"/>
            </w:tcMar>
            <w:vAlign w:val="bottom"/>
          </w:tcPr>
          <w:p w:rsidR="007B32C3" w:rsidRPr="007B32C3" w:rsidRDefault="007B32C3" w:rsidP="007B32C3">
            <w:pPr>
              <w:autoSpaceDE w:val="0"/>
              <w:autoSpaceDN w:val="0"/>
              <w:adjustRightInd w:val="0"/>
              <w:spacing w:before="80" w:after="80"/>
              <w:jc w:val="right"/>
              <w:rPr>
                <w:rFonts w:ascii="Calibri" w:hAnsi="Calibri" w:cs="Calibri"/>
                <w:color w:val="000000"/>
                <w:sz w:val="20"/>
                <w:szCs w:val="20"/>
              </w:rPr>
            </w:pPr>
            <w:r w:rsidRPr="007B32C3">
              <w:rPr>
                <w:rFonts w:ascii="Calibri" w:hAnsi="Calibri" w:cs="Calibri"/>
                <w:color w:val="000000"/>
                <w:sz w:val="20"/>
                <w:szCs w:val="20"/>
              </w:rPr>
              <w:t>$910</w:t>
            </w:r>
          </w:p>
        </w:tc>
        <w:tc>
          <w:tcPr>
            <w:tcW w:w="741" w:type="dxa"/>
            <w:tcBorders>
              <w:top w:val="nil"/>
              <w:left w:val="nil"/>
              <w:bottom w:val="nil"/>
              <w:right w:val="nil"/>
            </w:tcBorders>
            <w:shd w:val="clear" w:color="auto" w:fill="FFFFFF"/>
            <w:tcMar>
              <w:left w:w="80" w:type="dxa"/>
              <w:right w:w="80" w:type="dxa"/>
            </w:tcMar>
            <w:vAlign w:val="bottom"/>
          </w:tcPr>
          <w:p w:rsidR="007B32C3" w:rsidRPr="007B32C3" w:rsidRDefault="007B32C3" w:rsidP="007B32C3">
            <w:pPr>
              <w:autoSpaceDE w:val="0"/>
              <w:autoSpaceDN w:val="0"/>
              <w:adjustRightInd w:val="0"/>
              <w:spacing w:before="80" w:after="80"/>
              <w:jc w:val="right"/>
              <w:rPr>
                <w:rFonts w:ascii="Calibri" w:hAnsi="Calibri" w:cs="Calibri"/>
                <w:color w:val="000000"/>
                <w:sz w:val="20"/>
                <w:szCs w:val="20"/>
              </w:rPr>
            </w:pPr>
            <w:r w:rsidRPr="007B32C3">
              <w:rPr>
                <w:rFonts w:ascii="Calibri" w:hAnsi="Calibri" w:cs="Calibri"/>
                <w:color w:val="000000"/>
                <w:sz w:val="20"/>
                <w:szCs w:val="20"/>
              </w:rPr>
              <w:t>$2,274</w:t>
            </w:r>
          </w:p>
        </w:tc>
        <w:tc>
          <w:tcPr>
            <w:tcW w:w="844" w:type="dxa"/>
            <w:tcBorders>
              <w:top w:val="nil"/>
              <w:left w:val="nil"/>
              <w:bottom w:val="nil"/>
              <w:right w:val="nil"/>
            </w:tcBorders>
            <w:shd w:val="clear" w:color="auto" w:fill="FFFFFF"/>
            <w:tcMar>
              <w:left w:w="80" w:type="dxa"/>
              <w:right w:w="80" w:type="dxa"/>
            </w:tcMar>
            <w:vAlign w:val="bottom"/>
          </w:tcPr>
          <w:p w:rsidR="007B32C3" w:rsidRPr="007B32C3" w:rsidRDefault="007B32C3" w:rsidP="007B32C3">
            <w:pPr>
              <w:autoSpaceDE w:val="0"/>
              <w:autoSpaceDN w:val="0"/>
              <w:adjustRightInd w:val="0"/>
              <w:spacing w:before="80" w:after="80"/>
              <w:jc w:val="right"/>
              <w:rPr>
                <w:rFonts w:ascii="Calibri" w:hAnsi="Calibri" w:cs="Calibri"/>
                <w:color w:val="000000"/>
                <w:sz w:val="20"/>
                <w:szCs w:val="20"/>
              </w:rPr>
            </w:pPr>
            <w:r w:rsidRPr="007B32C3">
              <w:rPr>
                <w:rFonts w:ascii="Calibri" w:hAnsi="Calibri" w:cs="Calibri"/>
                <w:color w:val="000000"/>
                <w:sz w:val="20"/>
                <w:szCs w:val="20"/>
              </w:rPr>
              <w:t>$13,346</w:t>
            </w:r>
          </w:p>
        </w:tc>
        <w:tc>
          <w:tcPr>
            <w:tcW w:w="962" w:type="dxa"/>
            <w:tcBorders>
              <w:top w:val="nil"/>
              <w:left w:val="nil"/>
              <w:bottom w:val="nil"/>
              <w:right w:val="nil"/>
            </w:tcBorders>
            <w:shd w:val="clear" w:color="auto" w:fill="FFFFFF"/>
            <w:tcMar>
              <w:left w:w="80" w:type="dxa"/>
              <w:right w:w="80" w:type="dxa"/>
            </w:tcMar>
            <w:vAlign w:val="bottom"/>
          </w:tcPr>
          <w:p w:rsidR="007B32C3" w:rsidRPr="007B32C3" w:rsidRDefault="007B32C3" w:rsidP="007B32C3">
            <w:pPr>
              <w:autoSpaceDE w:val="0"/>
              <w:autoSpaceDN w:val="0"/>
              <w:adjustRightInd w:val="0"/>
              <w:spacing w:before="80" w:after="80"/>
              <w:jc w:val="right"/>
              <w:rPr>
                <w:rFonts w:ascii="Calibri" w:hAnsi="Calibri" w:cs="Calibri"/>
                <w:color w:val="000000"/>
                <w:sz w:val="20"/>
                <w:szCs w:val="20"/>
              </w:rPr>
            </w:pPr>
            <w:r w:rsidRPr="007B32C3">
              <w:rPr>
                <w:rFonts w:ascii="Calibri" w:hAnsi="Calibri" w:cs="Calibri"/>
                <w:color w:val="000000"/>
                <w:sz w:val="20"/>
                <w:szCs w:val="20"/>
              </w:rPr>
              <w:t>$13,880</w:t>
            </w:r>
          </w:p>
        </w:tc>
      </w:tr>
      <w:tr w:rsidR="007B32C3" w:rsidRPr="007B32C3" w:rsidTr="0054753A">
        <w:trPr>
          <w:cantSplit/>
        </w:trPr>
        <w:tc>
          <w:tcPr>
            <w:tcW w:w="2564" w:type="dxa"/>
            <w:tcBorders>
              <w:top w:val="nil"/>
              <w:left w:val="nil"/>
              <w:bottom w:val="nil"/>
              <w:right w:val="nil"/>
            </w:tcBorders>
            <w:shd w:val="clear" w:color="auto" w:fill="FFFFFF"/>
            <w:tcMar>
              <w:left w:w="80" w:type="dxa"/>
              <w:right w:w="80" w:type="dxa"/>
            </w:tcMar>
          </w:tcPr>
          <w:p w:rsidR="007B32C3" w:rsidRPr="007B32C3" w:rsidRDefault="007B32C3" w:rsidP="007B32C3">
            <w:pPr>
              <w:keepNext/>
              <w:autoSpaceDE w:val="0"/>
              <w:autoSpaceDN w:val="0"/>
              <w:adjustRightInd w:val="0"/>
              <w:spacing w:before="80" w:after="80"/>
              <w:rPr>
                <w:rFonts w:ascii="Calibri" w:hAnsi="Calibri" w:cs="Calibri"/>
                <w:b/>
                <w:bCs/>
                <w:color w:val="000000"/>
                <w:sz w:val="22"/>
                <w:szCs w:val="22"/>
              </w:rPr>
            </w:pPr>
            <w:r w:rsidRPr="007B32C3">
              <w:rPr>
                <w:rFonts w:ascii="Calibri" w:hAnsi="Calibri" w:cs="Calibri"/>
                <w:b/>
                <w:bCs/>
                <w:color w:val="000000"/>
                <w:sz w:val="22"/>
                <w:szCs w:val="22"/>
              </w:rPr>
              <w:t>Daily average dollar trade size</w:t>
            </w:r>
          </w:p>
        </w:tc>
        <w:tc>
          <w:tcPr>
            <w:tcW w:w="741" w:type="dxa"/>
            <w:tcBorders>
              <w:top w:val="nil"/>
              <w:left w:val="nil"/>
              <w:bottom w:val="nil"/>
              <w:right w:val="nil"/>
            </w:tcBorders>
            <w:shd w:val="clear" w:color="auto" w:fill="FFFFFF"/>
            <w:tcMar>
              <w:left w:w="80" w:type="dxa"/>
              <w:right w:w="80" w:type="dxa"/>
            </w:tcMar>
            <w:vAlign w:val="bottom"/>
          </w:tcPr>
          <w:p w:rsidR="007B32C3" w:rsidRPr="007B32C3" w:rsidRDefault="007B32C3" w:rsidP="007B32C3">
            <w:pPr>
              <w:keepNext/>
              <w:autoSpaceDE w:val="0"/>
              <w:autoSpaceDN w:val="0"/>
              <w:adjustRightInd w:val="0"/>
              <w:spacing w:before="80" w:after="80"/>
              <w:jc w:val="right"/>
              <w:rPr>
                <w:rFonts w:ascii="Calibri" w:hAnsi="Calibri" w:cs="Calibri"/>
                <w:color w:val="000000"/>
                <w:sz w:val="20"/>
                <w:szCs w:val="20"/>
              </w:rPr>
            </w:pPr>
            <w:r w:rsidRPr="007B32C3">
              <w:rPr>
                <w:rFonts w:ascii="Calibri" w:hAnsi="Calibri" w:cs="Calibri"/>
                <w:color w:val="000000"/>
                <w:sz w:val="20"/>
                <w:szCs w:val="20"/>
              </w:rPr>
              <w:t>$5,536</w:t>
            </w:r>
          </w:p>
        </w:tc>
        <w:tc>
          <w:tcPr>
            <w:tcW w:w="741" w:type="dxa"/>
            <w:tcBorders>
              <w:top w:val="nil"/>
              <w:left w:val="nil"/>
              <w:bottom w:val="nil"/>
              <w:right w:val="nil"/>
            </w:tcBorders>
            <w:shd w:val="clear" w:color="auto" w:fill="FFFFFF"/>
            <w:tcMar>
              <w:left w:w="80" w:type="dxa"/>
              <w:right w:w="80" w:type="dxa"/>
            </w:tcMar>
            <w:vAlign w:val="bottom"/>
          </w:tcPr>
          <w:p w:rsidR="007B32C3" w:rsidRPr="007B32C3" w:rsidRDefault="007B32C3" w:rsidP="007B32C3">
            <w:pPr>
              <w:keepNext/>
              <w:autoSpaceDE w:val="0"/>
              <w:autoSpaceDN w:val="0"/>
              <w:adjustRightInd w:val="0"/>
              <w:spacing w:before="80" w:after="80"/>
              <w:jc w:val="right"/>
              <w:rPr>
                <w:rFonts w:ascii="Calibri" w:hAnsi="Calibri" w:cs="Calibri"/>
                <w:color w:val="000000"/>
                <w:sz w:val="20"/>
                <w:szCs w:val="20"/>
              </w:rPr>
            </w:pPr>
            <w:r w:rsidRPr="007B32C3">
              <w:rPr>
                <w:rFonts w:ascii="Calibri" w:hAnsi="Calibri" w:cs="Calibri"/>
                <w:color w:val="000000"/>
                <w:sz w:val="20"/>
                <w:szCs w:val="20"/>
              </w:rPr>
              <w:t>$1,012</w:t>
            </w:r>
          </w:p>
        </w:tc>
        <w:tc>
          <w:tcPr>
            <w:tcW w:w="741" w:type="dxa"/>
            <w:tcBorders>
              <w:top w:val="nil"/>
              <w:left w:val="nil"/>
              <w:bottom w:val="nil"/>
              <w:right w:val="nil"/>
            </w:tcBorders>
            <w:shd w:val="clear" w:color="auto" w:fill="FFFFFF"/>
            <w:tcMar>
              <w:left w:w="80" w:type="dxa"/>
              <w:right w:w="80" w:type="dxa"/>
            </w:tcMar>
            <w:vAlign w:val="bottom"/>
          </w:tcPr>
          <w:p w:rsidR="007B32C3" w:rsidRPr="007B32C3" w:rsidRDefault="007B32C3" w:rsidP="007B32C3">
            <w:pPr>
              <w:keepNext/>
              <w:autoSpaceDE w:val="0"/>
              <w:autoSpaceDN w:val="0"/>
              <w:adjustRightInd w:val="0"/>
              <w:spacing w:before="80" w:after="80"/>
              <w:jc w:val="right"/>
              <w:rPr>
                <w:rFonts w:ascii="Calibri" w:hAnsi="Calibri" w:cs="Calibri"/>
                <w:color w:val="000000"/>
                <w:sz w:val="20"/>
                <w:szCs w:val="20"/>
              </w:rPr>
            </w:pPr>
            <w:r w:rsidRPr="007B32C3">
              <w:rPr>
                <w:rFonts w:ascii="Calibri" w:hAnsi="Calibri" w:cs="Calibri"/>
                <w:color w:val="000000"/>
                <w:sz w:val="20"/>
                <w:szCs w:val="20"/>
              </w:rPr>
              <w:t>$2,036</w:t>
            </w:r>
          </w:p>
        </w:tc>
        <w:tc>
          <w:tcPr>
            <w:tcW w:w="741" w:type="dxa"/>
            <w:tcBorders>
              <w:top w:val="nil"/>
              <w:left w:val="nil"/>
              <w:bottom w:val="nil"/>
              <w:right w:val="nil"/>
            </w:tcBorders>
            <w:shd w:val="clear" w:color="auto" w:fill="FFFFFF"/>
            <w:tcMar>
              <w:left w:w="80" w:type="dxa"/>
              <w:right w:w="80" w:type="dxa"/>
            </w:tcMar>
            <w:vAlign w:val="bottom"/>
          </w:tcPr>
          <w:p w:rsidR="007B32C3" w:rsidRPr="007B32C3" w:rsidRDefault="007B32C3" w:rsidP="007B32C3">
            <w:pPr>
              <w:keepNext/>
              <w:autoSpaceDE w:val="0"/>
              <w:autoSpaceDN w:val="0"/>
              <w:adjustRightInd w:val="0"/>
              <w:spacing w:before="80" w:after="80"/>
              <w:jc w:val="right"/>
              <w:rPr>
                <w:rFonts w:ascii="Calibri" w:hAnsi="Calibri" w:cs="Calibri"/>
                <w:color w:val="000000"/>
                <w:sz w:val="20"/>
                <w:szCs w:val="20"/>
              </w:rPr>
            </w:pPr>
            <w:r w:rsidRPr="007B32C3">
              <w:rPr>
                <w:rFonts w:ascii="Calibri" w:hAnsi="Calibri" w:cs="Calibri"/>
                <w:color w:val="000000"/>
                <w:sz w:val="20"/>
                <w:szCs w:val="20"/>
              </w:rPr>
              <w:t>$2,628</w:t>
            </w:r>
          </w:p>
        </w:tc>
        <w:tc>
          <w:tcPr>
            <w:tcW w:w="891" w:type="dxa"/>
            <w:tcBorders>
              <w:top w:val="nil"/>
              <w:left w:val="nil"/>
              <w:bottom w:val="nil"/>
              <w:right w:val="nil"/>
            </w:tcBorders>
            <w:shd w:val="clear" w:color="auto" w:fill="FFFFFF"/>
            <w:tcMar>
              <w:left w:w="80" w:type="dxa"/>
              <w:right w:w="80" w:type="dxa"/>
            </w:tcMar>
            <w:vAlign w:val="bottom"/>
          </w:tcPr>
          <w:p w:rsidR="007B32C3" w:rsidRPr="007B32C3" w:rsidRDefault="007B32C3" w:rsidP="007B32C3">
            <w:pPr>
              <w:keepNext/>
              <w:autoSpaceDE w:val="0"/>
              <w:autoSpaceDN w:val="0"/>
              <w:adjustRightInd w:val="0"/>
              <w:spacing w:before="80" w:after="80"/>
              <w:jc w:val="right"/>
              <w:rPr>
                <w:rFonts w:ascii="Calibri" w:hAnsi="Calibri" w:cs="Calibri"/>
                <w:color w:val="000000"/>
                <w:sz w:val="20"/>
                <w:szCs w:val="20"/>
              </w:rPr>
            </w:pPr>
            <w:r w:rsidRPr="007B32C3">
              <w:rPr>
                <w:rFonts w:ascii="Calibri" w:hAnsi="Calibri" w:cs="Calibri"/>
                <w:color w:val="000000"/>
                <w:sz w:val="20"/>
                <w:szCs w:val="20"/>
              </w:rPr>
              <w:t>$3,606</w:t>
            </w:r>
          </w:p>
        </w:tc>
        <w:tc>
          <w:tcPr>
            <w:tcW w:w="741" w:type="dxa"/>
            <w:tcBorders>
              <w:top w:val="nil"/>
              <w:left w:val="nil"/>
              <w:bottom w:val="nil"/>
              <w:right w:val="nil"/>
            </w:tcBorders>
            <w:shd w:val="clear" w:color="auto" w:fill="FFFFFF"/>
            <w:tcMar>
              <w:left w:w="80" w:type="dxa"/>
              <w:right w:w="80" w:type="dxa"/>
            </w:tcMar>
            <w:vAlign w:val="bottom"/>
          </w:tcPr>
          <w:p w:rsidR="007B32C3" w:rsidRPr="007B32C3" w:rsidRDefault="007B32C3" w:rsidP="007B32C3">
            <w:pPr>
              <w:keepNext/>
              <w:autoSpaceDE w:val="0"/>
              <w:autoSpaceDN w:val="0"/>
              <w:adjustRightInd w:val="0"/>
              <w:spacing w:before="80" w:after="80"/>
              <w:jc w:val="right"/>
              <w:rPr>
                <w:rFonts w:ascii="Calibri" w:hAnsi="Calibri" w:cs="Calibri"/>
                <w:color w:val="000000"/>
                <w:sz w:val="20"/>
                <w:szCs w:val="20"/>
              </w:rPr>
            </w:pPr>
            <w:r w:rsidRPr="007B32C3">
              <w:rPr>
                <w:rFonts w:ascii="Calibri" w:hAnsi="Calibri" w:cs="Calibri"/>
                <w:color w:val="000000"/>
                <w:sz w:val="20"/>
                <w:szCs w:val="20"/>
              </w:rPr>
              <w:t>$5,462</w:t>
            </w:r>
          </w:p>
        </w:tc>
        <w:tc>
          <w:tcPr>
            <w:tcW w:w="844" w:type="dxa"/>
            <w:tcBorders>
              <w:top w:val="nil"/>
              <w:left w:val="nil"/>
              <w:bottom w:val="nil"/>
              <w:right w:val="nil"/>
            </w:tcBorders>
            <w:shd w:val="clear" w:color="auto" w:fill="FFFFFF"/>
            <w:tcMar>
              <w:left w:w="80" w:type="dxa"/>
              <w:right w:w="80" w:type="dxa"/>
            </w:tcMar>
            <w:vAlign w:val="bottom"/>
          </w:tcPr>
          <w:p w:rsidR="007B32C3" w:rsidRPr="007B32C3" w:rsidRDefault="007B32C3" w:rsidP="007B32C3">
            <w:pPr>
              <w:keepNext/>
              <w:autoSpaceDE w:val="0"/>
              <w:autoSpaceDN w:val="0"/>
              <w:adjustRightInd w:val="0"/>
              <w:spacing w:before="80" w:after="80"/>
              <w:jc w:val="right"/>
              <w:rPr>
                <w:rFonts w:ascii="Calibri" w:hAnsi="Calibri" w:cs="Calibri"/>
                <w:color w:val="000000"/>
                <w:sz w:val="20"/>
                <w:szCs w:val="20"/>
              </w:rPr>
            </w:pPr>
            <w:r w:rsidRPr="007B32C3">
              <w:rPr>
                <w:rFonts w:ascii="Calibri" w:hAnsi="Calibri" w:cs="Calibri"/>
                <w:color w:val="000000"/>
                <w:sz w:val="20"/>
                <w:szCs w:val="20"/>
              </w:rPr>
              <w:t>$7,452</w:t>
            </w:r>
          </w:p>
        </w:tc>
        <w:tc>
          <w:tcPr>
            <w:tcW w:w="962" w:type="dxa"/>
            <w:tcBorders>
              <w:top w:val="nil"/>
              <w:left w:val="nil"/>
              <w:bottom w:val="nil"/>
              <w:right w:val="nil"/>
            </w:tcBorders>
            <w:shd w:val="clear" w:color="auto" w:fill="FFFFFF"/>
            <w:tcMar>
              <w:left w:w="80" w:type="dxa"/>
              <w:right w:w="80" w:type="dxa"/>
            </w:tcMar>
            <w:vAlign w:val="bottom"/>
          </w:tcPr>
          <w:p w:rsidR="007B32C3" w:rsidRPr="007B32C3" w:rsidRDefault="007B32C3" w:rsidP="007B32C3">
            <w:pPr>
              <w:keepNext/>
              <w:autoSpaceDE w:val="0"/>
              <w:autoSpaceDN w:val="0"/>
              <w:adjustRightInd w:val="0"/>
              <w:spacing w:before="80" w:after="80"/>
              <w:jc w:val="right"/>
              <w:rPr>
                <w:rFonts w:ascii="Calibri" w:hAnsi="Calibri" w:cs="Calibri"/>
                <w:color w:val="000000"/>
                <w:sz w:val="20"/>
                <w:szCs w:val="20"/>
              </w:rPr>
            </w:pPr>
            <w:r w:rsidRPr="007B32C3">
              <w:rPr>
                <w:rFonts w:ascii="Calibri" w:hAnsi="Calibri" w:cs="Calibri"/>
                <w:color w:val="000000"/>
                <w:sz w:val="20"/>
                <w:szCs w:val="20"/>
              </w:rPr>
              <w:t>$370,139</w:t>
            </w:r>
          </w:p>
        </w:tc>
      </w:tr>
      <w:tr w:rsidR="007B32C3" w:rsidRPr="007B32C3" w:rsidTr="0054753A">
        <w:trPr>
          <w:cantSplit/>
        </w:trPr>
        <w:tc>
          <w:tcPr>
            <w:tcW w:w="2564" w:type="dxa"/>
            <w:tcBorders>
              <w:top w:val="nil"/>
              <w:left w:val="nil"/>
              <w:bottom w:val="single" w:sz="6" w:space="0" w:color="000000"/>
              <w:right w:val="nil"/>
            </w:tcBorders>
            <w:shd w:val="clear" w:color="auto" w:fill="FFFFFF"/>
            <w:tcMar>
              <w:left w:w="80" w:type="dxa"/>
              <w:right w:w="80" w:type="dxa"/>
            </w:tcMar>
          </w:tcPr>
          <w:p w:rsidR="007B32C3" w:rsidRPr="007B32C3" w:rsidRDefault="007B32C3" w:rsidP="007B32C3">
            <w:pPr>
              <w:autoSpaceDE w:val="0"/>
              <w:autoSpaceDN w:val="0"/>
              <w:adjustRightInd w:val="0"/>
              <w:spacing w:before="80" w:after="80"/>
              <w:rPr>
                <w:rFonts w:ascii="Calibri" w:hAnsi="Calibri" w:cs="Calibri"/>
                <w:b/>
                <w:bCs/>
                <w:color w:val="000000"/>
                <w:sz w:val="22"/>
                <w:szCs w:val="22"/>
              </w:rPr>
            </w:pPr>
            <w:r w:rsidRPr="007B32C3">
              <w:rPr>
                <w:rFonts w:ascii="Calibri" w:hAnsi="Calibri" w:cs="Calibri"/>
                <w:b/>
                <w:bCs/>
                <w:color w:val="000000"/>
                <w:sz w:val="22"/>
                <w:szCs w:val="22"/>
              </w:rPr>
              <w:t>Equal bid and ask sizes</w:t>
            </w:r>
          </w:p>
        </w:tc>
        <w:tc>
          <w:tcPr>
            <w:tcW w:w="741" w:type="dxa"/>
            <w:tcBorders>
              <w:top w:val="nil"/>
              <w:left w:val="nil"/>
              <w:bottom w:val="single" w:sz="6" w:space="0" w:color="000000"/>
              <w:right w:val="nil"/>
            </w:tcBorders>
            <w:shd w:val="clear" w:color="auto" w:fill="FFFFFF"/>
            <w:tcMar>
              <w:left w:w="80" w:type="dxa"/>
              <w:right w:w="80" w:type="dxa"/>
            </w:tcMar>
            <w:vAlign w:val="bottom"/>
          </w:tcPr>
          <w:p w:rsidR="007B32C3" w:rsidRPr="007B32C3" w:rsidRDefault="007B32C3" w:rsidP="007B32C3">
            <w:pPr>
              <w:autoSpaceDE w:val="0"/>
              <w:autoSpaceDN w:val="0"/>
              <w:adjustRightInd w:val="0"/>
              <w:spacing w:before="80" w:after="80"/>
              <w:jc w:val="right"/>
              <w:rPr>
                <w:rFonts w:ascii="Calibri" w:hAnsi="Calibri" w:cs="Calibri"/>
                <w:color w:val="000000"/>
                <w:sz w:val="20"/>
                <w:szCs w:val="20"/>
              </w:rPr>
            </w:pPr>
            <w:r w:rsidRPr="007B32C3">
              <w:rPr>
                <w:rFonts w:ascii="Calibri" w:hAnsi="Calibri" w:cs="Calibri"/>
                <w:color w:val="000000"/>
                <w:sz w:val="20"/>
                <w:szCs w:val="20"/>
              </w:rPr>
              <w:t>1.3%</w:t>
            </w:r>
          </w:p>
        </w:tc>
        <w:tc>
          <w:tcPr>
            <w:tcW w:w="741" w:type="dxa"/>
            <w:tcBorders>
              <w:top w:val="nil"/>
              <w:left w:val="nil"/>
              <w:bottom w:val="single" w:sz="6" w:space="0" w:color="000000"/>
              <w:right w:val="nil"/>
            </w:tcBorders>
            <w:shd w:val="clear" w:color="auto" w:fill="FFFFFF"/>
            <w:tcMar>
              <w:left w:w="80" w:type="dxa"/>
              <w:right w:w="80" w:type="dxa"/>
            </w:tcMar>
            <w:vAlign w:val="bottom"/>
          </w:tcPr>
          <w:p w:rsidR="007B32C3" w:rsidRPr="007B32C3" w:rsidRDefault="007B32C3" w:rsidP="007B32C3">
            <w:pPr>
              <w:autoSpaceDE w:val="0"/>
              <w:autoSpaceDN w:val="0"/>
              <w:adjustRightInd w:val="0"/>
              <w:spacing w:before="80" w:after="80"/>
              <w:jc w:val="right"/>
              <w:rPr>
                <w:rFonts w:ascii="Calibri" w:hAnsi="Calibri" w:cs="Calibri"/>
                <w:color w:val="000000"/>
                <w:sz w:val="20"/>
                <w:szCs w:val="20"/>
              </w:rPr>
            </w:pPr>
            <w:r w:rsidRPr="007B32C3">
              <w:rPr>
                <w:rFonts w:ascii="Calibri" w:hAnsi="Calibri" w:cs="Calibri"/>
                <w:color w:val="000000"/>
                <w:sz w:val="20"/>
                <w:szCs w:val="20"/>
              </w:rPr>
              <w:t>0.0%</w:t>
            </w:r>
          </w:p>
        </w:tc>
        <w:tc>
          <w:tcPr>
            <w:tcW w:w="741" w:type="dxa"/>
            <w:tcBorders>
              <w:top w:val="nil"/>
              <w:left w:val="nil"/>
              <w:bottom w:val="single" w:sz="6" w:space="0" w:color="000000"/>
              <w:right w:val="nil"/>
            </w:tcBorders>
            <w:shd w:val="clear" w:color="auto" w:fill="FFFFFF"/>
            <w:tcMar>
              <w:left w:w="80" w:type="dxa"/>
              <w:right w:w="80" w:type="dxa"/>
            </w:tcMar>
            <w:vAlign w:val="bottom"/>
          </w:tcPr>
          <w:p w:rsidR="007B32C3" w:rsidRPr="007B32C3" w:rsidRDefault="007B32C3" w:rsidP="007B32C3">
            <w:pPr>
              <w:autoSpaceDE w:val="0"/>
              <w:autoSpaceDN w:val="0"/>
              <w:adjustRightInd w:val="0"/>
              <w:spacing w:before="80" w:after="80"/>
              <w:jc w:val="right"/>
              <w:rPr>
                <w:rFonts w:ascii="Calibri" w:hAnsi="Calibri" w:cs="Calibri"/>
                <w:color w:val="000000"/>
                <w:sz w:val="20"/>
                <w:szCs w:val="20"/>
              </w:rPr>
            </w:pPr>
            <w:r w:rsidRPr="007B32C3">
              <w:rPr>
                <w:rFonts w:ascii="Calibri" w:hAnsi="Calibri" w:cs="Calibri"/>
                <w:color w:val="000000"/>
                <w:sz w:val="20"/>
                <w:szCs w:val="20"/>
              </w:rPr>
              <w:t>0.0%</w:t>
            </w:r>
          </w:p>
        </w:tc>
        <w:tc>
          <w:tcPr>
            <w:tcW w:w="741" w:type="dxa"/>
            <w:tcBorders>
              <w:top w:val="nil"/>
              <w:left w:val="nil"/>
              <w:bottom w:val="single" w:sz="6" w:space="0" w:color="000000"/>
              <w:right w:val="nil"/>
            </w:tcBorders>
            <w:shd w:val="clear" w:color="auto" w:fill="FFFFFF"/>
            <w:tcMar>
              <w:left w:w="80" w:type="dxa"/>
              <w:right w:w="80" w:type="dxa"/>
            </w:tcMar>
            <w:vAlign w:val="bottom"/>
          </w:tcPr>
          <w:p w:rsidR="007B32C3" w:rsidRPr="007B32C3" w:rsidRDefault="007B32C3" w:rsidP="007B32C3">
            <w:pPr>
              <w:autoSpaceDE w:val="0"/>
              <w:autoSpaceDN w:val="0"/>
              <w:adjustRightInd w:val="0"/>
              <w:spacing w:before="80" w:after="80"/>
              <w:jc w:val="right"/>
              <w:rPr>
                <w:rFonts w:ascii="Calibri" w:hAnsi="Calibri" w:cs="Calibri"/>
                <w:color w:val="000000"/>
                <w:sz w:val="20"/>
                <w:szCs w:val="20"/>
              </w:rPr>
            </w:pPr>
            <w:r w:rsidRPr="007B32C3">
              <w:rPr>
                <w:rFonts w:ascii="Calibri" w:hAnsi="Calibri" w:cs="Calibri"/>
                <w:color w:val="000000"/>
                <w:sz w:val="20"/>
                <w:szCs w:val="20"/>
              </w:rPr>
              <w:t>0.2%</w:t>
            </w:r>
          </w:p>
        </w:tc>
        <w:tc>
          <w:tcPr>
            <w:tcW w:w="891" w:type="dxa"/>
            <w:tcBorders>
              <w:top w:val="nil"/>
              <w:left w:val="nil"/>
              <w:bottom w:val="single" w:sz="6" w:space="0" w:color="000000"/>
              <w:right w:val="nil"/>
            </w:tcBorders>
            <w:shd w:val="clear" w:color="auto" w:fill="FFFFFF"/>
            <w:tcMar>
              <w:left w:w="80" w:type="dxa"/>
              <w:right w:w="80" w:type="dxa"/>
            </w:tcMar>
            <w:vAlign w:val="bottom"/>
          </w:tcPr>
          <w:p w:rsidR="007B32C3" w:rsidRPr="007B32C3" w:rsidRDefault="007B32C3" w:rsidP="007B32C3">
            <w:pPr>
              <w:autoSpaceDE w:val="0"/>
              <w:autoSpaceDN w:val="0"/>
              <w:adjustRightInd w:val="0"/>
              <w:spacing w:before="80" w:after="80"/>
              <w:jc w:val="right"/>
              <w:rPr>
                <w:rFonts w:ascii="Calibri" w:hAnsi="Calibri" w:cs="Calibri"/>
                <w:color w:val="000000"/>
                <w:sz w:val="20"/>
                <w:szCs w:val="20"/>
              </w:rPr>
            </w:pPr>
            <w:r w:rsidRPr="007B32C3">
              <w:rPr>
                <w:rFonts w:ascii="Calibri" w:hAnsi="Calibri" w:cs="Calibri"/>
                <w:color w:val="000000"/>
                <w:sz w:val="20"/>
                <w:szCs w:val="20"/>
              </w:rPr>
              <w:t>0.9%</w:t>
            </w:r>
          </w:p>
        </w:tc>
        <w:tc>
          <w:tcPr>
            <w:tcW w:w="741" w:type="dxa"/>
            <w:tcBorders>
              <w:top w:val="nil"/>
              <w:left w:val="nil"/>
              <w:bottom w:val="single" w:sz="6" w:space="0" w:color="000000"/>
              <w:right w:val="nil"/>
            </w:tcBorders>
            <w:shd w:val="clear" w:color="auto" w:fill="FFFFFF"/>
            <w:tcMar>
              <w:left w:w="80" w:type="dxa"/>
              <w:right w:w="80" w:type="dxa"/>
            </w:tcMar>
            <w:vAlign w:val="bottom"/>
          </w:tcPr>
          <w:p w:rsidR="007B32C3" w:rsidRPr="007B32C3" w:rsidRDefault="007B32C3" w:rsidP="007B32C3">
            <w:pPr>
              <w:autoSpaceDE w:val="0"/>
              <w:autoSpaceDN w:val="0"/>
              <w:adjustRightInd w:val="0"/>
              <w:spacing w:before="80" w:after="80"/>
              <w:jc w:val="right"/>
              <w:rPr>
                <w:rFonts w:ascii="Calibri" w:hAnsi="Calibri" w:cs="Calibri"/>
                <w:color w:val="000000"/>
                <w:sz w:val="20"/>
                <w:szCs w:val="20"/>
              </w:rPr>
            </w:pPr>
            <w:r w:rsidRPr="007B32C3">
              <w:rPr>
                <w:rFonts w:ascii="Calibri" w:hAnsi="Calibri" w:cs="Calibri"/>
                <w:color w:val="000000"/>
                <w:sz w:val="20"/>
                <w:szCs w:val="20"/>
              </w:rPr>
              <w:t>1.6%</w:t>
            </w:r>
          </w:p>
        </w:tc>
        <w:tc>
          <w:tcPr>
            <w:tcW w:w="844" w:type="dxa"/>
            <w:tcBorders>
              <w:top w:val="nil"/>
              <w:left w:val="nil"/>
              <w:bottom w:val="single" w:sz="6" w:space="0" w:color="000000"/>
              <w:right w:val="nil"/>
            </w:tcBorders>
            <w:shd w:val="clear" w:color="auto" w:fill="FFFFFF"/>
            <w:tcMar>
              <w:left w:w="80" w:type="dxa"/>
              <w:right w:w="80" w:type="dxa"/>
            </w:tcMar>
            <w:vAlign w:val="bottom"/>
          </w:tcPr>
          <w:p w:rsidR="007B32C3" w:rsidRPr="007B32C3" w:rsidRDefault="007B32C3" w:rsidP="007B32C3">
            <w:pPr>
              <w:autoSpaceDE w:val="0"/>
              <w:autoSpaceDN w:val="0"/>
              <w:adjustRightInd w:val="0"/>
              <w:spacing w:before="80" w:after="80"/>
              <w:jc w:val="right"/>
              <w:rPr>
                <w:rFonts w:ascii="Calibri" w:hAnsi="Calibri" w:cs="Calibri"/>
                <w:color w:val="000000"/>
                <w:sz w:val="20"/>
                <w:szCs w:val="20"/>
              </w:rPr>
            </w:pPr>
            <w:r w:rsidRPr="007B32C3">
              <w:rPr>
                <w:rFonts w:ascii="Calibri" w:hAnsi="Calibri" w:cs="Calibri"/>
                <w:color w:val="000000"/>
                <w:sz w:val="20"/>
                <w:szCs w:val="20"/>
              </w:rPr>
              <w:t>3.4%</w:t>
            </w:r>
          </w:p>
        </w:tc>
        <w:tc>
          <w:tcPr>
            <w:tcW w:w="962" w:type="dxa"/>
            <w:tcBorders>
              <w:top w:val="nil"/>
              <w:left w:val="nil"/>
              <w:bottom w:val="single" w:sz="6" w:space="0" w:color="000000"/>
              <w:right w:val="nil"/>
            </w:tcBorders>
            <w:shd w:val="clear" w:color="auto" w:fill="FFFFFF"/>
            <w:tcMar>
              <w:left w:w="80" w:type="dxa"/>
              <w:right w:w="80" w:type="dxa"/>
            </w:tcMar>
            <w:vAlign w:val="bottom"/>
          </w:tcPr>
          <w:p w:rsidR="007B32C3" w:rsidRPr="007B32C3" w:rsidRDefault="007B32C3" w:rsidP="007B32C3">
            <w:pPr>
              <w:autoSpaceDE w:val="0"/>
              <w:autoSpaceDN w:val="0"/>
              <w:adjustRightInd w:val="0"/>
              <w:spacing w:before="80" w:after="80"/>
              <w:jc w:val="right"/>
              <w:rPr>
                <w:rFonts w:ascii="Calibri" w:hAnsi="Calibri" w:cs="Calibri"/>
                <w:color w:val="000000"/>
                <w:sz w:val="20"/>
                <w:szCs w:val="20"/>
              </w:rPr>
            </w:pPr>
            <w:r w:rsidRPr="007B32C3">
              <w:rPr>
                <w:rFonts w:ascii="Calibri" w:hAnsi="Calibri" w:cs="Calibri"/>
                <w:color w:val="000000"/>
                <w:sz w:val="20"/>
                <w:szCs w:val="20"/>
              </w:rPr>
              <w:t>9.8%</w:t>
            </w:r>
          </w:p>
        </w:tc>
      </w:tr>
    </w:tbl>
    <w:p w:rsidR="007B32C3" w:rsidRPr="007B32C3" w:rsidRDefault="007B32C3" w:rsidP="007B32C3">
      <w:pPr>
        <w:autoSpaceDE w:val="0"/>
        <w:autoSpaceDN w:val="0"/>
        <w:rPr>
          <w:rFonts w:ascii="Times New Roman" w:hAnsi="Times New Roman"/>
          <w:sz w:val="20"/>
          <w:szCs w:val="20"/>
        </w:rPr>
      </w:pPr>
    </w:p>
    <w:p w:rsidR="0054753A" w:rsidRDefault="0054753A" w:rsidP="007F6986">
      <w:pPr>
        <w:rPr>
          <w:rFonts w:ascii="Calibri" w:hAnsi="Calibri" w:cs="Calibri"/>
          <w:b/>
          <w:bCs/>
          <w:color w:val="000000"/>
        </w:rPr>
      </w:pPr>
      <w:r>
        <w:br w:type="page"/>
      </w:r>
      <w:r w:rsidRPr="0098544C">
        <w:rPr>
          <w:rFonts w:ascii="Calibri" w:hAnsi="Calibri" w:cs="Calibri"/>
          <w:b/>
          <w:bCs/>
          <w:color w:val="000000"/>
        </w:rPr>
        <w:t xml:space="preserve">Table </w:t>
      </w:r>
      <w:r>
        <w:rPr>
          <w:rFonts w:ascii="Calibri" w:hAnsi="Calibri" w:cs="Calibri"/>
          <w:b/>
          <w:bCs/>
          <w:color w:val="000000"/>
        </w:rPr>
        <w:t>2, Panel A</w:t>
      </w:r>
      <w:r w:rsidRPr="0098544C">
        <w:rPr>
          <w:rFonts w:ascii="Calibri" w:hAnsi="Calibri" w:cs="Calibri"/>
          <w:b/>
          <w:bCs/>
          <w:color w:val="000000"/>
        </w:rPr>
        <w:t xml:space="preserve">:  </w:t>
      </w:r>
      <w:r>
        <w:rPr>
          <w:rFonts w:ascii="Calibri" w:hAnsi="Calibri" w:cs="Calibri"/>
          <w:b/>
          <w:bCs/>
          <w:color w:val="000000"/>
        </w:rPr>
        <w:t>Average Return Correlations among Stocks</w:t>
      </w:r>
    </w:p>
    <w:p w:rsidR="0054753A" w:rsidRDefault="0054753A" w:rsidP="007F6986">
      <w:pPr>
        <w:rPr>
          <w:rFonts w:ascii="Calibri" w:hAnsi="Calibri" w:cs="Calibri"/>
          <w:bCs/>
          <w:color w:val="000000"/>
        </w:rPr>
      </w:pPr>
    </w:p>
    <w:p w:rsidR="0054753A" w:rsidRPr="0054753A" w:rsidRDefault="0054753A" w:rsidP="007F6986">
      <w:pPr>
        <w:rPr>
          <w:rFonts w:ascii="Calibri" w:hAnsi="Calibri" w:cs="Calibri"/>
          <w:bCs/>
          <w:color w:val="000000"/>
        </w:rPr>
      </w:pPr>
      <w:r>
        <w:rPr>
          <w:rFonts w:ascii="Calibri" w:hAnsi="Calibri" w:cs="Calibri"/>
          <w:bCs/>
          <w:color w:val="000000"/>
        </w:rPr>
        <w:t xml:space="preserve">This table presents average return correlation coefficients for all pairs of stocks </w:t>
      </w:r>
      <w:r w:rsidR="00E9759E">
        <w:rPr>
          <w:rFonts w:ascii="Calibri" w:hAnsi="Calibri" w:cs="Calibri"/>
          <w:bCs/>
          <w:color w:val="000000"/>
        </w:rPr>
        <w:t xml:space="preserve">in the sample measured at various intraday intervals.  There are 3,240 pairs of the 81 stocks in the sample. </w:t>
      </w:r>
      <w:r w:rsidR="004B5BF8">
        <w:rPr>
          <w:rFonts w:ascii="Calibri" w:hAnsi="Calibri" w:cs="Calibri"/>
          <w:bCs/>
          <w:color w:val="000000"/>
        </w:rPr>
        <w:t xml:space="preserve"> </w:t>
      </w:r>
      <w:r w:rsidR="00E9759E">
        <w:rPr>
          <w:rFonts w:ascii="Calibri" w:hAnsi="Calibri" w:cs="Calibri"/>
          <w:bCs/>
          <w:color w:val="000000"/>
        </w:rPr>
        <w:t>The returns are computed from three different estimates of value.  The quote midpoint returns are estimated from the average of the bid and ask quotes.  The un</w:t>
      </w:r>
      <w:r w:rsidR="00186DDE">
        <w:rPr>
          <w:rFonts w:ascii="Calibri" w:hAnsi="Calibri" w:cs="Calibri"/>
          <w:bCs/>
          <w:color w:val="000000"/>
        </w:rPr>
        <w:t>adjusted returns are</w:t>
      </w:r>
      <w:r w:rsidR="00E9759E">
        <w:rPr>
          <w:rFonts w:ascii="Calibri" w:hAnsi="Calibri" w:cs="Calibri"/>
          <w:bCs/>
          <w:color w:val="000000"/>
        </w:rPr>
        <w:t xml:space="preserve"> estimate</w:t>
      </w:r>
      <w:r w:rsidR="003A4764">
        <w:rPr>
          <w:rFonts w:ascii="Calibri" w:hAnsi="Calibri" w:cs="Calibri"/>
          <w:bCs/>
          <w:color w:val="000000"/>
        </w:rPr>
        <w:t>d</w:t>
      </w:r>
      <w:r w:rsidR="00E9759E">
        <w:rPr>
          <w:rFonts w:ascii="Calibri" w:hAnsi="Calibri" w:cs="Calibri"/>
          <w:bCs/>
          <w:color w:val="000000"/>
        </w:rPr>
        <w:t xml:space="preserve"> </w:t>
      </w:r>
      <w:r w:rsidR="003A4764">
        <w:rPr>
          <w:rFonts w:ascii="Calibri" w:hAnsi="Calibri" w:cs="Calibri"/>
          <w:bCs/>
          <w:color w:val="000000"/>
        </w:rPr>
        <w:t>as a quotation size-</w:t>
      </w:r>
      <w:r w:rsidR="00186DDE">
        <w:rPr>
          <w:rFonts w:ascii="Calibri" w:hAnsi="Calibri" w:cs="Calibri"/>
          <w:bCs/>
          <w:color w:val="000000"/>
        </w:rPr>
        <w:t xml:space="preserve">weighted average of bid and ask prices using </w:t>
      </w:r>
      <w:r w:rsidR="003A4764">
        <w:rPr>
          <w:rFonts w:ascii="Calibri" w:hAnsi="Calibri" w:cs="Calibri"/>
          <w:bCs/>
          <w:color w:val="000000"/>
        </w:rPr>
        <w:t xml:space="preserve">the formula in </w:t>
      </w:r>
      <w:r w:rsidR="00E9759E">
        <w:rPr>
          <w:rFonts w:ascii="Calibri" w:hAnsi="Calibri" w:cs="Calibri"/>
          <w:bCs/>
          <w:color w:val="000000"/>
        </w:rPr>
        <w:t>equation (2)</w:t>
      </w:r>
      <w:r w:rsidR="00186DDE">
        <w:rPr>
          <w:rFonts w:ascii="Calibri" w:hAnsi="Calibri" w:cs="Calibri"/>
          <w:bCs/>
          <w:color w:val="000000"/>
        </w:rPr>
        <w:t xml:space="preserve">.  The adjusted returns </w:t>
      </w:r>
      <w:r w:rsidR="003A4764">
        <w:rPr>
          <w:rFonts w:ascii="Calibri" w:hAnsi="Calibri" w:cs="Calibri"/>
          <w:bCs/>
          <w:color w:val="000000"/>
        </w:rPr>
        <w:t>are quotation size-</w:t>
      </w:r>
      <w:r w:rsidR="00186DDE">
        <w:rPr>
          <w:rFonts w:ascii="Calibri" w:hAnsi="Calibri" w:cs="Calibri"/>
          <w:bCs/>
          <w:color w:val="000000"/>
        </w:rPr>
        <w:t>weighted average</w:t>
      </w:r>
      <w:r w:rsidR="003A4764">
        <w:rPr>
          <w:rFonts w:ascii="Calibri" w:hAnsi="Calibri" w:cs="Calibri"/>
          <w:bCs/>
          <w:color w:val="000000"/>
        </w:rPr>
        <w:t>s</w:t>
      </w:r>
      <w:r w:rsidR="00186DDE">
        <w:rPr>
          <w:rFonts w:ascii="Calibri" w:hAnsi="Calibri" w:cs="Calibri"/>
          <w:bCs/>
          <w:color w:val="000000"/>
        </w:rPr>
        <w:t xml:space="preserve"> of bid and ask prices </w:t>
      </w:r>
      <w:r w:rsidR="003A4764">
        <w:rPr>
          <w:rFonts w:ascii="Calibri" w:hAnsi="Calibri" w:cs="Calibri"/>
          <w:bCs/>
          <w:color w:val="000000"/>
        </w:rPr>
        <w:t xml:space="preserve">that adjust for maker-taker fees </w:t>
      </w:r>
      <w:r w:rsidR="00186DDE">
        <w:rPr>
          <w:rFonts w:ascii="Calibri" w:hAnsi="Calibri" w:cs="Calibri"/>
          <w:bCs/>
          <w:color w:val="000000"/>
        </w:rPr>
        <w:t xml:space="preserve">using equation </w:t>
      </w:r>
      <w:r w:rsidR="00E9759E">
        <w:rPr>
          <w:rFonts w:ascii="Calibri" w:hAnsi="Calibri" w:cs="Calibri"/>
          <w:bCs/>
          <w:color w:val="000000"/>
        </w:rPr>
        <w:t>(6)</w:t>
      </w:r>
      <w:r w:rsidR="003A4764">
        <w:rPr>
          <w:rFonts w:ascii="Calibri" w:hAnsi="Calibri" w:cs="Calibri"/>
          <w:bCs/>
          <w:color w:val="000000"/>
        </w:rPr>
        <w:t xml:space="preserve">. </w:t>
      </w:r>
    </w:p>
    <w:p w:rsidR="0054753A" w:rsidRDefault="0054753A" w:rsidP="007F6986">
      <w:pPr>
        <w:rPr>
          <w:rFonts w:ascii="Calibri" w:hAnsi="Calibri" w:cs="Calibri"/>
          <w:b/>
          <w:bCs/>
          <w:color w:val="000000"/>
        </w:rPr>
      </w:pPr>
    </w:p>
    <w:tbl>
      <w:tblPr>
        <w:tblW w:w="0" w:type="auto"/>
        <w:tblInd w:w="80" w:type="dxa"/>
        <w:tblLayout w:type="fixed"/>
        <w:tblCellMar>
          <w:left w:w="0" w:type="dxa"/>
          <w:right w:w="0" w:type="dxa"/>
        </w:tblCellMar>
        <w:tblLook w:val="0000" w:firstRow="0" w:lastRow="0" w:firstColumn="0" w:lastColumn="0" w:noHBand="0" w:noVBand="0"/>
      </w:tblPr>
      <w:tblGrid>
        <w:gridCol w:w="1530"/>
        <w:gridCol w:w="2047"/>
        <w:gridCol w:w="2464"/>
        <w:gridCol w:w="2932"/>
      </w:tblGrid>
      <w:tr w:rsidR="00E9759E" w:rsidRPr="0054753A" w:rsidTr="003A4764">
        <w:trPr>
          <w:cantSplit/>
          <w:tblHeader/>
        </w:trPr>
        <w:tc>
          <w:tcPr>
            <w:tcW w:w="1530" w:type="dxa"/>
            <w:tcBorders>
              <w:top w:val="single" w:sz="6" w:space="0" w:color="000000"/>
              <w:left w:val="nil"/>
              <w:bottom w:val="single" w:sz="6" w:space="0" w:color="000000"/>
              <w:right w:val="nil"/>
            </w:tcBorders>
            <w:shd w:val="clear" w:color="auto" w:fill="FFFFFF"/>
            <w:tcMar>
              <w:left w:w="80" w:type="dxa"/>
              <w:right w:w="80" w:type="dxa"/>
            </w:tcMar>
            <w:vAlign w:val="bottom"/>
          </w:tcPr>
          <w:p w:rsidR="00E9759E" w:rsidRPr="0054753A" w:rsidRDefault="003A4764" w:rsidP="00E9759E">
            <w:pPr>
              <w:keepNext/>
              <w:autoSpaceDE w:val="0"/>
              <w:autoSpaceDN w:val="0"/>
              <w:adjustRightInd w:val="0"/>
              <w:spacing w:before="80" w:after="80"/>
              <w:jc w:val="center"/>
              <w:rPr>
                <w:rFonts w:ascii="Calibri" w:hAnsi="Calibri" w:cs="Calibri"/>
                <w:b/>
                <w:bCs/>
                <w:color w:val="000000"/>
                <w:sz w:val="22"/>
                <w:szCs w:val="22"/>
              </w:rPr>
            </w:pPr>
            <w:r>
              <w:rPr>
                <w:rFonts w:ascii="Calibri" w:hAnsi="Calibri" w:cs="Calibri"/>
                <w:b/>
                <w:bCs/>
                <w:color w:val="000000"/>
                <w:sz w:val="22"/>
                <w:szCs w:val="22"/>
              </w:rPr>
              <w:t>Time interval</w:t>
            </w:r>
          </w:p>
        </w:tc>
        <w:tc>
          <w:tcPr>
            <w:tcW w:w="2047" w:type="dxa"/>
            <w:tcBorders>
              <w:top w:val="single" w:sz="6" w:space="0" w:color="000000"/>
              <w:left w:val="nil"/>
              <w:bottom w:val="single" w:sz="6" w:space="0" w:color="000000"/>
              <w:right w:val="nil"/>
            </w:tcBorders>
            <w:shd w:val="clear" w:color="auto" w:fill="FFFFFF"/>
            <w:vAlign w:val="bottom"/>
          </w:tcPr>
          <w:p w:rsidR="00E9759E" w:rsidRPr="0054753A" w:rsidRDefault="00E9759E" w:rsidP="00E9759E">
            <w:pPr>
              <w:keepNext/>
              <w:autoSpaceDE w:val="0"/>
              <w:autoSpaceDN w:val="0"/>
              <w:adjustRightInd w:val="0"/>
              <w:spacing w:before="80" w:after="80"/>
              <w:jc w:val="center"/>
              <w:rPr>
                <w:rFonts w:ascii="Calibri" w:hAnsi="Calibri" w:cs="Calibri"/>
                <w:b/>
                <w:bCs/>
                <w:color w:val="000000"/>
                <w:sz w:val="22"/>
                <w:szCs w:val="22"/>
              </w:rPr>
            </w:pPr>
            <w:r>
              <w:rPr>
                <w:rFonts w:ascii="Calibri" w:hAnsi="Calibri" w:cs="Calibri"/>
                <w:b/>
                <w:bCs/>
                <w:color w:val="000000"/>
                <w:sz w:val="22"/>
                <w:szCs w:val="22"/>
              </w:rPr>
              <w:t>Return e</w:t>
            </w:r>
            <w:r w:rsidRPr="0054753A">
              <w:rPr>
                <w:rFonts w:ascii="Calibri" w:hAnsi="Calibri" w:cs="Calibri"/>
                <w:b/>
                <w:bCs/>
                <w:color w:val="000000"/>
                <w:sz w:val="22"/>
                <w:szCs w:val="22"/>
              </w:rPr>
              <w:t>stimate type</w:t>
            </w:r>
          </w:p>
        </w:tc>
        <w:tc>
          <w:tcPr>
            <w:tcW w:w="2464" w:type="dxa"/>
            <w:tcBorders>
              <w:top w:val="single" w:sz="6" w:space="0" w:color="000000"/>
              <w:left w:val="nil"/>
              <w:bottom w:val="single" w:sz="6" w:space="0" w:color="000000"/>
              <w:right w:val="nil"/>
            </w:tcBorders>
            <w:shd w:val="clear" w:color="auto" w:fill="FFFFFF"/>
            <w:vAlign w:val="bottom"/>
          </w:tcPr>
          <w:p w:rsidR="00E9759E" w:rsidRPr="0054753A" w:rsidRDefault="00E9759E" w:rsidP="003A4764">
            <w:pPr>
              <w:keepNext/>
              <w:autoSpaceDE w:val="0"/>
              <w:autoSpaceDN w:val="0"/>
              <w:adjustRightInd w:val="0"/>
              <w:spacing w:before="80" w:after="80"/>
              <w:jc w:val="center"/>
              <w:rPr>
                <w:rFonts w:ascii="Calibri" w:hAnsi="Calibri" w:cs="Calibri"/>
                <w:b/>
                <w:bCs/>
                <w:color w:val="000000"/>
                <w:sz w:val="22"/>
                <w:szCs w:val="22"/>
              </w:rPr>
            </w:pPr>
            <w:r w:rsidRPr="0054753A">
              <w:rPr>
                <w:rFonts w:ascii="Calibri" w:hAnsi="Calibri" w:cs="Calibri"/>
                <w:b/>
                <w:bCs/>
                <w:color w:val="000000"/>
                <w:sz w:val="22"/>
                <w:szCs w:val="22"/>
              </w:rPr>
              <w:t>Assumed maker-taker fee</w:t>
            </w:r>
          </w:p>
        </w:tc>
        <w:tc>
          <w:tcPr>
            <w:tcW w:w="2932" w:type="dxa"/>
            <w:tcBorders>
              <w:top w:val="single" w:sz="6" w:space="0" w:color="000000"/>
              <w:left w:val="nil"/>
              <w:bottom w:val="single" w:sz="6" w:space="0" w:color="000000"/>
              <w:right w:val="nil"/>
            </w:tcBorders>
            <w:shd w:val="clear" w:color="auto" w:fill="FFFFFF"/>
            <w:tcMar>
              <w:left w:w="80" w:type="dxa"/>
              <w:right w:w="80" w:type="dxa"/>
            </w:tcMar>
            <w:vAlign w:val="bottom"/>
          </w:tcPr>
          <w:p w:rsidR="00E9759E" w:rsidRPr="0054753A" w:rsidRDefault="00E9759E" w:rsidP="00E9759E">
            <w:pPr>
              <w:keepNext/>
              <w:autoSpaceDE w:val="0"/>
              <w:autoSpaceDN w:val="0"/>
              <w:adjustRightInd w:val="0"/>
              <w:spacing w:before="80" w:after="80"/>
              <w:jc w:val="center"/>
              <w:rPr>
                <w:rFonts w:ascii="Calibri" w:hAnsi="Calibri" w:cs="Calibri"/>
                <w:b/>
                <w:bCs/>
                <w:color w:val="000000"/>
                <w:sz w:val="22"/>
                <w:szCs w:val="22"/>
              </w:rPr>
            </w:pPr>
            <w:r w:rsidRPr="0054753A">
              <w:rPr>
                <w:rFonts w:ascii="Calibri" w:hAnsi="Calibri" w:cs="Calibri"/>
                <w:b/>
                <w:bCs/>
                <w:color w:val="000000"/>
                <w:sz w:val="22"/>
                <w:szCs w:val="22"/>
              </w:rPr>
              <w:t>Average correlation coefficient</w:t>
            </w:r>
          </w:p>
        </w:tc>
      </w:tr>
      <w:tr w:rsidR="00E9759E" w:rsidRPr="0054753A" w:rsidTr="003A4764">
        <w:trPr>
          <w:cantSplit/>
        </w:trPr>
        <w:tc>
          <w:tcPr>
            <w:tcW w:w="1530" w:type="dxa"/>
            <w:vMerge w:val="restart"/>
            <w:tcBorders>
              <w:top w:val="nil"/>
              <w:left w:val="nil"/>
              <w:bottom w:val="nil"/>
              <w:right w:val="nil"/>
            </w:tcBorders>
            <w:shd w:val="clear" w:color="auto" w:fill="FFFFFF"/>
            <w:tcMar>
              <w:left w:w="80" w:type="dxa"/>
              <w:right w:w="80" w:type="dxa"/>
            </w:tcMar>
          </w:tcPr>
          <w:p w:rsidR="00E9759E" w:rsidRPr="0054753A" w:rsidRDefault="00E9759E" w:rsidP="0054753A">
            <w:pPr>
              <w:keepNext/>
              <w:autoSpaceDE w:val="0"/>
              <w:autoSpaceDN w:val="0"/>
              <w:adjustRightInd w:val="0"/>
              <w:spacing w:before="80" w:after="80"/>
              <w:rPr>
                <w:rFonts w:ascii="Calibri" w:hAnsi="Calibri" w:cs="Calibri"/>
                <w:b/>
                <w:bCs/>
                <w:color w:val="000000"/>
                <w:sz w:val="22"/>
                <w:szCs w:val="22"/>
              </w:rPr>
            </w:pPr>
            <w:r w:rsidRPr="0054753A">
              <w:rPr>
                <w:rFonts w:ascii="Calibri" w:hAnsi="Calibri" w:cs="Calibri"/>
                <w:b/>
                <w:bCs/>
                <w:color w:val="000000"/>
                <w:sz w:val="22"/>
                <w:szCs w:val="22"/>
              </w:rPr>
              <w:t>1</w:t>
            </w:r>
            <w:r w:rsidR="00D20E36">
              <w:rPr>
                <w:rFonts w:ascii="Calibri" w:hAnsi="Calibri" w:cs="Calibri"/>
                <w:b/>
                <w:bCs/>
                <w:color w:val="000000"/>
                <w:sz w:val="22"/>
                <w:szCs w:val="22"/>
              </w:rPr>
              <w:t>s</w:t>
            </w:r>
          </w:p>
        </w:tc>
        <w:tc>
          <w:tcPr>
            <w:tcW w:w="2047" w:type="dxa"/>
            <w:tcBorders>
              <w:top w:val="nil"/>
              <w:left w:val="nil"/>
              <w:bottom w:val="nil"/>
              <w:right w:val="nil"/>
            </w:tcBorders>
            <w:shd w:val="clear" w:color="auto" w:fill="FFFFFF"/>
            <w:tcMar>
              <w:left w:w="80" w:type="dxa"/>
              <w:right w:w="80" w:type="dxa"/>
            </w:tcMar>
          </w:tcPr>
          <w:p w:rsidR="00E9759E" w:rsidRPr="0054753A" w:rsidRDefault="00E9759E" w:rsidP="0054753A">
            <w:pPr>
              <w:keepNext/>
              <w:autoSpaceDE w:val="0"/>
              <w:autoSpaceDN w:val="0"/>
              <w:adjustRightInd w:val="0"/>
              <w:spacing w:before="80" w:after="80"/>
              <w:rPr>
                <w:rFonts w:ascii="Calibri" w:hAnsi="Calibri" w:cs="Calibri"/>
                <w:b/>
                <w:bCs/>
                <w:color w:val="000000"/>
                <w:sz w:val="22"/>
                <w:szCs w:val="22"/>
              </w:rPr>
            </w:pPr>
            <w:r w:rsidRPr="0054753A">
              <w:rPr>
                <w:rFonts w:ascii="Calibri" w:hAnsi="Calibri" w:cs="Calibri"/>
                <w:b/>
                <w:bCs/>
                <w:color w:val="000000"/>
                <w:sz w:val="22"/>
                <w:szCs w:val="22"/>
              </w:rPr>
              <w:t>Quote midpoint</w:t>
            </w:r>
          </w:p>
        </w:tc>
        <w:tc>
          <w:tcPr>
            <w:tcW w:w="2464" w:type="dxa"/>
            <w:tcBorders>
              <w:top w:val="nil"/>
              <w:left w:val="nil"/>
              <w:bottom w:val="nil"/>
              <w:right w:val="nil"/>
            </w:tcBorders>
            <w:shd w:val="clear" w:color="auto" w:fill="FFFFFF"/>
            <w:tcMar>
              <w:left w:w="80" w:type="dxa"/>
              <w:right w:w="80" w:type="dxa"/>
            </w:tcMar>
          </w:tcPr>
          <w:p w:rsidR="00E9759E" w:rsidRPr="0054753A" w:rsidRDefault="00E9759E" w:rsidP="0054753A">
            <w:pPr>
              <w:keepNext/>
              <w:autoSpaceDE w:val="0"/>
              <w:autoSpaceDN w:val="0"/>
              <w:adjustRightInd w:val="0"/>
              <w:spacing w:before="80" w:after="80"/>
              <w:rPr>
                <w:rFonts w:ascii="Calibri" w:hAnsi="Calibri" w:cs="Calibri"/>
                <w:b/>
                <w:bCs/>
                <w:color w:val="000000"/>
                <w:sz w:val="22"/>
                <w:szCs w:val="22"/>
              </w:rPr>
            </w:pPr>
          </w:p>
        </w:tc>
        <w:tc>
          <w:tcPr>
            <w:tcW w:w="2932" w:type="dxa"/>
            <w:tcBorders>
              <w:left w:val="nil"/>
              <w:bottom w:val="nil"/>
              <w:right w:val="nil"/>
            </w:tcBorders>
            <w:shd w:val="clear" w:color="auto" w:fill="FFFFFF"/>
            <w:tcMar>
              <w:left w:w="80" w:type="dxa"/>
              <w:right w:w="80" w:type="dxa"/>
            </w:tcMar>
            <w:vAlign w:val="bottom"/>
          </w:tcPr>
          <w:p w:rsidR="00E9759E" w:rsidRPr="0054753A" w:rsidRDefault="00E9759E" w:rsidP="003A4764">
            <w:pPr>
              <w:keepNext/>
              <w:autoSpaceDE w:val="0"/>
              <w:autoSpaceDN w:val="0"/>
              <w:adjustRightInd w:val="0"/>
              <w:spacing w:before="80" w:after="80"/>
              <w:ind w:right="973"/>
              <w:jc w:val="right"/>
              <w:rPr>
                <w:rFonts w:ascii="Calibri" w:hAnsi="Calibri" w:cs="Calibri"/>
                <w:color w:val="000000"/>
                <w:sz w:val="20"/>
                <w:szCs w:val="20"/>
              </w:rPr>
            </w:pPr>
            <w:r w:rsidRPr="0054753A">
              <w:rPr>
                <w:rFonts w:ascii="Calibri" w:hAnsi="Calibri" w:cs="Calibri"/>
                <w:color w:val="000000"/>
                <w:sz w:val="20"/>
                <w:szCs w:val="20"/>
              </w:rPr>
              <w:t>0.29%</w:t>
            </w:r>
          </w:p>
        </w:tc>
      </w:tr>
      <w:tr w:rsidR="00E9759E" w:rsidRPr="0054753A" w:rsidTr="003A4764">
        <w:trPr>
          <w:cantSplit/>
        </w:trPr>
        <w:tc>
          <w:tcPr>
            <w:tcW w:w="1530" w:type="dxa"/>
            <w:vMerge/>
            <w:tcBorders>
              <w:top w:val="nil"/>
              <w:left w:val="nil"/>
              <w:bottom w:val="nil"/>
              <w:right w:val="nil"/>
            </w:tcBorders>
            <w:shd w:val="clear" w:color="auto" w:fill="FFFFFF"/>
            <w:tcMar>
              <w:left w:w="80" w:type="dxa"/>
              <w:right w:w="80" w:type="dxa"/>
            </w:tcMar>
          </w:tcPr>
          <w:p w:rsidR="00E9759E" w:rsidRPr="0054753A" w:rsidRDefault="00E9759E" w:rsidP="0054753A">
            <w:pPr>
              <w:keepNext/>
              <w:autoSpaceDE w:val="0"/>
              <w:autoSpaceDN w:val="0"/>
              <w:adjustRightInd w:val="0"/>
              <w:rPr>
                <w:rFonts w:ascii="Times New Roman" w:hAnsi="Times New Roman"/>
              </w:rPr>
            </w:pPr>
          </w:p>
        </w:tc>
        <w:tc>
          <w:tcPr>
            <w:tcW w:w="2047" w:type="dxa"/>
            <w:tcBorders>
              <w:top w:val="nil"/>
              <w:left w:val="nil"/>
              <w:bottom w:val="nil"/>
              <w:right w:val="nil"/>
            </w:tcBorders>
            <w:shd w:val="clear" w:color="auto" w:fill="FFFFFF"/>
            <w:tcMar>
              <w:left w:w="80" w:type="dxa"/>
              <w:right w:w="80" w:type="dxa"/>
            </w:tcMar>
          </w:tcPr>
          <w:p w:rsidR="00E9759E" w:rsidRPr="0054753A" w:rsidRDefault="00E9759E" w:rsidP="0054753A">
            <w:pPr>
              <w:keepNext/>
              <w:autoSpaceDE w:val="0"/>
              <w:autoSpaceDN w:val="0"/>
              <w:adjustRightInd w:val="0"/>
              <w:spacing w:before="80" w:after="80"/>
              <w:rPr>
                <w:rFonts w:ascii="Calibri" w:hAnsi="Calibri" w:cs="Calibri"/>
                <w:b/>
                <w:bCs/>
                <w:color w:val="000000"/>
                <w:sz w:val="22"/>
                <w:szCs w:val="22"/>
              </w:rPr>
            </w:pPr>
            <w:r w:rsidRPr="0054753A">
              <w:rPr>
                <w:rFonts w:ascii="Calibri" w:hAnsi="Calibri" w:cs="Calibri"/>
                <w:b/>
                <w:bCs/>
                <w:color w:val="000000"/>
                <w:sz w:val="22"/>
                <w:szCs w:val="22"/>
              </w:rPr>
              <w:t>Unadjusted</w:t>
            </w:r>
          </w:p>
        </w:tc>
        <w:tc>
          <w:tcPr>
            <w:tcW w:w="2464" w:type="dxa"/>
            <w:tcBorders>
              <w:top w:val="nil"/>
              <w:left w:val="nil"/>
              <w:bottom w:val="nil"/>
              <w:right w:val="nil"/>
            </w:tcBorders>
            <w:shd w:val="clear" w:color="auto" w:fill="FFFFFF"/>
            <w:tcMar>
              <w:left w:w="80" w:type="dxa"/>
              <w:right w:w="80" w:type="dxa"/>
            </w:tcMar>
          </w:tcPr>
          <w:p w:rsidR="00E9759E" w:rsidRPr="0054753A" w:rsidRDefault="00E9759E" w:rsidP="0054753A">
            <w:pPr>
              <w:keepNext/>
              <w:autoSpaceDE w:val="0"/>
              <w:autoSpaceDN w:val="0"/>
              <w:adjustRightInd w:val="0"/>
              <w:spacing w:before="80" w:after="80"/>
              <w:rPr>
                <w:rFonts w:ascii="Calibri" w:hAnsi="Calibri" w:cs="Calibri"/>
                <w:b/>
                <w:bCs/>
                <w:color w:val="000000"/>
                <w:sz w:val="22"/>
                <w:szCs w:val="22"/>
              </w:rPr>
            </w:pPr>
            <w:r w:rsidRPr="0054753A">
              <w:rPr>
                <w:rFonts w:ascii="Calibri" w:hAnsi="Calibri" w:cs="Calibri"/>
                <w:b/>
                <w:bCs/>
                <w:color w:val="000000"/>
                <w:sz w:val="22"/>
                <w:szCs w:val="22"/>
              </w:rPr>
              <w:t>0</w:t>
            </w:r>
            <w:r>
              <w:rPr>
                <w:rFonts w:ascii="Calibri" w:hAnsi="Calibri" w:cs="Calibri"/>
                <w:b/>
                <w:bCs/>
                <w:color w:val="000000"/>
                <w:sz w:val="22"/>
                <w:szCs w:val="22"/>
              </w:rPr>
              <w:t>¢</w:t>
            </w:r>
          </w:p>
        </w:tc>
        <w:tc>
          <w:tcPr>
            <w:tcW w:w="2932" w:type="dxa"/>
            <w:tcBorders>
              <w:top w:val="nil"/>
              <w:left w:val="nil"/>
              <w:bottom w:val="nil"/>
              <w:right w:val="nil"/>
            </w:tcBorders>
            <w:shd w:val="clear" w:color="auto" w:fill="FFFFFF"/>
            <w:tcMar>
              <w:left w:w="80" w:type="dxa"/>
              <w:right w:w="80" w:type="dxa"/>
            </w:tcMar>
            <w:vAlign w:val="bottom"/>
          </w:tcPr>
          <w:p w:rsidR="00E9759E" w:rsidRPr="0054753A" w:rsidRDefault="00E9759E" w:rsidP="003A4764">
            <w:pPr>
              <w:keepNext/>
              <w:autoSpaceDE w:val="0"/>
              <w:autoSpaceDN w:val="0"/>
              <w:adjustRightInd w:val="0"/>
              <w:spacing w:before="80" w:after="80"/>
              <w:ind w:right="973"/>
              <w:jc w:val="right"/>
              <w:rPr>
                <w:rFonts w:ascii="Calibri" w:hAnsi="Calibri" w:cs="Calibri"/>
                <w:color w:val="000000"/>
                <w:sz w:val="20"/>
                <w:szCs w:val="20"/>
              </w:rPr>
            </w:pPr>
            <w:r w:rsidRPr="0054753A">
              <w:rPr>
                <w:rFonts w:ascii="Calibri" w:hAnsi="Calibri" w:cs="Calibri"/>
                <w:color w:val="000000"/>
                <w:sz w:val="20"/>
                <w:szCs w:val="20"/>
              </w:rPr>
              <w:t>0.47%</w:t>
            </w:r>
          </w:p>
        </w:tc>
      </w:tr>
      <w:tr w:rsidR="00E9759E" w:rsidRPr="0054753A" w:rsidTr="003A4764">
        <w:trPr>
          <w:cantSplit/>
        </w:trPr>
        <w:tc>
          <w:tcPr>
            <w:tcW w:w="1530" w:type="dxa"/>
            <w:vMerge/>
            <w:tcBorders>
              <w:top w:val="nil"/>
              <w:left w:val="nil"/>
              <w:bottom w:val="nil"/>
              <w:right w:val="nil"/>
            </w:tcBorders>
            <w:shd w:val="clear" w:color="auto" w:fill="FFFFFF"/>
            <w:tcMar>
              <w:left w:w="80" w:type="dxa"/>
              <w:right w:w="80" w:type="dxa"/>
            </w:tcMar>
          </w:tcPr>
          <w:p w:rsidR="00E9759E" w:rsidRPr="0054753A" w:rsidRDefault="00E9759E" w:rsidP="0054753A">
            <w:pPr>
              <w:autoSpaceDE w:val="0"/>
              <w:autoSpaceDN w:val="0"/>
              <w:adjustRightInd w:val="0"/>
              <w:rPr>
                <w:rFonts w:ascii="Times New Roman" w:hAnsi="Times New Roman"/>
              </w:rPr>
            </w:pPr>
          </w:p>
        </w:tc>
        <w:tc>
          <w:tcPr>
            <w:tcW w:w="2047" w:type="dxa"/>
            <w:tcBorders>
              <w:top w:val="nil"/>
              <w:left w:val="nil"/>
              <w:bottom w:val="nil"/>
              <w:right w:val="nil"/>
            </w:tcBorders>
            <w:shd w:val="clear" w:color="auto" w:fill="FFFFFF"/>
            <w:tcMar>
              <w:left w:w="80" w:type="dxa"/>
              <w:right w:w="80" w:type="dxa"/>
            </w:tcMar>
          </w:tcPr>
          <w:p w:rsidR="00E9759E" w:rsidRPr="0054753A" w:rsidRDefault="00E9759E" w:rsidP="0054753A">
            <w:pPr>
              <w:autoSpaceDE w:val="0"/>
              <w:autoSpaceDN w:val="0"/>
              <w:adjustRightInd w:val="0"/>
              <w:spacing w:before="80" w:after="80"/>
              <w:rPr>
                <w:rFonts w:ascii="Calibri" w:hAnsi="Calibri" w:cs="Calibri"/>
                <w:b/>
                <w:bCs/>
                <w:color w:val="000000"/>
                <w:sz w:val="22"/>
                <w:szCs w:val="22"/>
              </w:rPr>
            </w:pPr>
            <w:r w:rsidRPr="0054753A">
              <w:rPr>
                <w:rFonts w:ascii="Calibri" w:hAnsi="Calibri" w:cs="Calibri"/>
                <w:b/>
                <w:bCs/>
                <w:color w:val="000000"/>
                <w:sz w:val="22"/>
                <w:szCs w:val="22"/>
              </w:rPr>
              <w:t>Adjusted</w:t>
            </w:r>
          </w:p>
        </w:tc>
        <w:tc>
          <w:tcPr>
            <w:tcW w:w="2464" w:type="dxa"/>
            <w:tcBorders>
              <w:top w:val="nil"/>
              <w:left w:val="nil"/>
              <w:bottom w:val="nil"/>
              <w:right w:val="nil"/>
            </w:tcBorders>
            <w:shd w:val="clear" w:color="auto" w:fill="FFFFFF"/>
            <w:tcMar>
              <w:left w:w="80" w:type="dxa"/>
              <w:right w:w="80" w:type="dxa"/>
            </w:tcMar>
          </w:tcPr>
          <w:p w:rsidR="00E9759E" w:rsidRPr="0054753A" w:rsidRDefault="00E9759E" w:rsidP="0054753A">
            <w:pPr>
              <w:autoSpaceDE w:val="0"/>
              <w:autoSpaceDN w:val="0"/>
              <w:adjustRightInd w:val="0"/>
              <w:spacing w:before="80" w:after="80"/>
              <w:rPr>
                <w:rFonts w:ascii="Calibri" w:hAnsi="Calibri" w:cs="Calibri"/>
                <w:b/>
                <w:bCs/>
                <w:color w:val="000000"/>
                <w:sz w:val="22"/>
                <w:szCs w:val="22"/>
              </w:rPr>
            </w:pPr>
            <w:r w:rsidRPr="0054753A">
              <w:rPr>
                <w:rFonts w:ascii="Calibri" w:hAnsi="Calibri" w:cs="Calibri"/>
                <w:b/>
                <w:bCs/>
                <w:color w:val="000000"/>
                <w:sz w:val="22"/>
                <w:szCs w:val="22"/>
              </w:rPr>
              <w:t>0.275</w:t>
            </w:r>
            <w:r>
              <w:rPr>
                <w:rFonts w:ascii="Calibri" w:hAnsi="Calibri" w:cs="Calibri"/>
                <w:b/>
                <w:bCs/>
                <w:color w:val="000000"/>
                <w:sz w:val="22"/>
                <w:szCs w:val="22"/>
              </w:rPr>
              <w:t>¢</w:t>
            </w:r>
          </w:p>
        </w:tc>
        <w:tc>
          <w:tcPr>
            <w:tcW w:w="2932" w:type="dxa"/>
            <w:tcBorders>
              <w:top w:val="nil"/>
              <w:left w:val="nil"/>
              <w:bottom w:val="nil"/>
              <w:right w:val="nil"/>
            </w:tcBorders>
            <w:shd w:val="clear" w:color="auto" w:fill="FFFFFF"/>
            <w:tcMar>
              <w:left w:w="80" w:type="dxa"/>
              <w:right w:w="80" w:type="dxa"/>
            </w:tcMar>
            <w:vAlign w:val="bottom"/>
          </w:tcPr>
          <w:p w:rsidR="00E9759E" w:rsidRPr="0054753A" w:rsidRDefault="00E9759E" w:rsidP="003A4764">
            <w:pPr>
              <w:autoSpaceDE w:val="0"/>
              <w:autoSpaceDN w:val="0"/>
              <w:adjustRightInd w:val="0"/>
              <w:spacing w:before="80" w:after="80"/>
              <w:ind w:right="973"/>
              <w:jc w:val="right"/>
              <w:rPr>
                <w:rFonts w:ascii="Calibri" w:hAnsi="Calibri" w:cs="Calibri"/>
                <w:color w:val="000000"/>
                <w:sz w:val="20"/>
                <w:szCs w:val="20"/>
              </w:rPr>
            </w:pPr>
            <w:r w:rsidRPr="0054753A">
              <w:rPr>
                <w:rFonts w:ascii="Calibri" w:hAnsi="Calibri" w:cs="Calibri"/>
                <w:color w:val="000000"/>
                <w:sz w:val="20"/>
                <w:szCs w:val="20"/>
              </w:rPr>
              <w:t>0.55%</w:t>
            </w:r>
          </w:p>
        </w:tc>
      </w:tr>
      <w:tr w:rsidR="00E9759E" w:rsidRPr="0054753A" w:rsidTr="003A4764">
        <w:trPr>
          <w:cantSplit/>
        </w:trPr>
        <w:tc>
          <w:tcPr>
            <w:tcW w:w="1530" w:type="dxa"/>
            <w:vMerge w:val="restart"/>
            <w:tcBorders>
              <w:top w:val="nil"/>
              <w:left w:val="nil"/>
              <w:bottom w:val="nil"/>
              <w:right w:val="nil"/>
            </w:tcBorders>
            <w:shd w:val="clear" w:color="auto" w:fill="FFFFFF"/>
            <w:tcMar>
              <w:left w:w="80" w:type="dxa"/>
              <w:right w:w="80" w:type="dxa"/>
            </w:tcMar>
          </w:tcPr>
          <w:p w:rsidR="00E9759E" w:rsidRPr="0054753A" w:rsidRDefault="00E9759E" w:rsidP="0054753A">
            <w:pPr>
              <w:keepNext/>
              <w:autoSpaceDE w:val="0"/>
              <w:autoSpaceDN w:val="0"/>
              <w:adjustRightInd w:val="0"/>
              <w:spacing w:before="80" w:after="80"/>
              <w:rPr>
                <w:rFonts w:ascii="Calibri" w:hAnsi="Calibri" w:cs="Calibri"/>
                <w:b/>
                <w:bCs/>
                <w:color w:val="000000"/>
                <w:sz w:val="22"/>
                <w:szCs w:val="22"/>
              </w:rPr>
            </w:pPr>
            <w:r w:rsidRPr="0054753A">
              <w:rPr>
                <w:rFonts w:ascii="Calibri" w:hAnsi="Calibri" w:cs="Calibri"/>
                <w:b/>
                <w:bCs/>
                <w:color w:val="000000"/>
                <w:sz w:val="22"/>
                <w:szCs w:val="22"/>
              </w:rPr>
              <w:t>5</w:t>
            </w:r>
            <w:r w:rsidR="00D20E36">
              <w:rPr>
                <w:rFonts w:ascii="Calibri" w:hAnsi="Calibri" w:cs="Calibri"/>
                <w:b/>
                <w:bCs/>
                <w:color w:val="000000"/>
                <w:sz w:val="22"/>
                <w:szCs w:val="22"/>
              </w:rPr>
              <w:t>s</w:t>
            </w:r>
          </w:p>
        </w:tc>
        <w:tc>
          <w:tcPr>
            <w:tcW w:w="2047" w:type="dxa"/>
            <w:tcBorders>
              <w:top w:val="nil"/>
              <w:left w:val="nil"/>
              <w:bottom w:val="nil"/>
              <w:right w:val="nil"/>
            </w:tcBorders>
            <w:shd w:val="clear" w:color="auto" w:fill="FFFFFF"/>
            <w:tcMar>
              <w:left w:w="80" w:type="dxa"/>
              <w:right w:w="80" w:type="dxa"/>
            </w:tcMar>
          </w:tcPr>
          <w:p w:rsidR="00E9759E" w:rsidRPr="0054753A" w:rsidRDefault="00E9759E" w:rsidP="0054753A">
            <w:pPr>
              <w:keepNext/>
              <w:autoSpaceDE w:val="0"/>
              <w:autoSpaceDN w:val="0"/>
              <w:adjustRightInd w:val="0"/>
              <w:spacing w:before="80" w:after="80"/>
              <w:rPr>
                <w:rFonts w:ascii="Calibri" w:hAnsi="Calibri" w:cs="Calibri"/>
                <w:b/>
                <w:bCs/>
                <w:color w:val="000000"/>
                <w:sz w:val="22"/>
                <w:szCs w:val="22"/>
              </w:rPr>
            </w:pPr>
            <w:r w:rsidRPr="0054753A">
              <w:rPr>
                <w:rFonts w:ascii="Calibri" w:hAnsi="Calibri" w:cs="Calibri"/>
                <w:b/>
                <w:bCs/>
                <w:color w:val="000000"/>
                <w:sz w:val="22"/>
                <w:szCs w:val="22"/>
              </w:rPr>
              <w:t>Quote midpoint</w:t>
            </w:r>
          </w:p>
        </w:tc>
        <w:tc>
          <w:tcPr>
            <w:tcW w:w="2464" w:type="dxa"/>
            <w:tcBorders>
              <w:top w:val="nil"/>
              <w:left w:val="nil"/>
              <w:bottom w:val="nil"/>
              <w:right w:val="nil"/>
            </w:tcBorders>
            <w:shd w:val="clear" w:color="auto" w:fill="FFFFFF"/>
            <w:tcMar>
              <w:left w:w="80" w:type="dxa"/>
              <w:right w:w="80" w:type="dxa"/>
            </w:tcMar>
          </w:tcPr>
          <w:p w:rsidR="00E9759E" w:rsidRPr="0054753A" w:rsidRDefault="00E9759E" w:rsidP="0054753A">
            <w:pPr>
              <w:keepNext/>
              <w:autoSpaceDE w:val="0"/>
              <w:autoSpaceDN w:val="0"/>
              <w:adjustRightInd w:val="0"/>
              <w:spacing w:before="80" w:after="80"/>
              <w:rPr>
                <w:rFonts w:ascii="Calibri" w:hAnsi="Calibri" w:cs="Calibri"/>
                <w:b/>
                <w:bCs/>
                <w:color w:val="000000"/>
                <w:sz w:val="22"/>
                <w:szCs w:val="22"/>
              </w:rPr>
            </w:pPr>
          </w:p>
        </w:tc>
        <w:tc>
          <w:tcPr>
            <w:tcW w:w="2932" w:type="dxa"/>
            <w:tcBorders>
              <w:top w:val="nil"/>
              <w:left w:val="nil"/>
              <w:bottom w:val="nil"/>
              <w:right w:val="nil"/>
            </w:tcBorders>
            <w:shd w:val="clear" w:color="auto" w:fill="FFFFFF"/>
            <w:tcMar>
              <w:left w:w="80" w:type="dxa"/>
              <w:right w:w="80" w:type="dxa"/>
            </w:tcMar>
            <w:vAlign w:val="bottom"/>
          </w:tcPr>
          <w:p w:rsidR="00E9759E" w:rsidRPr="0054753A" w:rsidRDefault="00E9759E" w:rsidP="003A4764">
            <w:pPr>
              <w:keepNext/>
              <w:autoSpaceDE w:val="0"/>
              <w:autoSpaceDN w:val="0"/>
              <w:adjustRightInd w:val="0"/>
              <w:spacing w:before="80" w:after="80"/>
              <w:ind w:right="973"/>
              <w:jc w:val="right"/>
              <w:rPr>
                <w:rFonts w:ascii="Calibri" w:hAnsi="Calibri" w:cs="Calibri"/>
                <w:color w:val="000000"/>
                <w:sz w:val="20"/>
                <w:szCs w:val="20"/>
              </w:rPr>
            </w:pPr>
            <w:r w:rsidRPr="0054753A">
              <w:rPr>
                <w:rFonts w:ascii="Calibri" w:hAnsi="Calibri" w:cs="Calibri"/>
                <w:color w:val="000000"/>
                <w:sz w:val="20"/>
                <w:szCs w:val="20"/>
              </w:rPr>
              <w:t>0.78%</w:t>
            </w:r>
          </w:p>
        </w:tc>
      </w:tr>
      <w:tr w:rsidR="00E9759E" w:rsidRPr="0054753A" w:rsidTr="003A4764">
        <w:trPr>
          <w:cantSplit/>
        </w:trPr>
        <w:tc>
          <w:tcPr>
            <w:tcW w:w="1530" w:type="dxa"/>
            <w:vMerge/>
            <w:tcBorders>
              <w:top w:val="nil"/>
              <w:left w:val="nil"/>
              <w:bottom w:val="nil"/>
              <w:right w:val="nil"/>
            </w:tcBorders>
            <w:shd w:val="clear" w:color="auto" w:fill="FFFFFF"/>
            <w:tcMar>
              <w:left w:w="80" w:type="dxa"/>
              <w:right w:w="80" w:type="dxa"/>
            </w:tcMar>
          </w:tcPr>
          <w:p w:rsidR="00E9759E" w:rsidRPr="0054753A" w:rsidRDefault="00E9759E" w:rsidP="0054753A">
            <w:pPr>
              <w:keepNext/>
              <w:autoSpaceDE w:val="0"/>
              <w:autoSpaceDN w:val="0"/>
              <w:adjustRightInd w:val="0"/>
              <w:rPr>
                <w:rFonts w:ascii="Times New Roman" w:hAnsi="Times New Roman"/>
              </w:rPr>
            </w:pPr>
          </w:p>
        </w:tc>
        <w:tc>
          <w:tcPr>
            <w:tcW w:w="2047" w:type="dxa"/>
            <w:tcBorders>
              <w:top w:val="nil"/>
              <w:left w:val="nil"/>
              <w:bottom w:val="nil"/>
              <w:right w:val="nil"/>
            </w:tcBorders>
            <w:shd w:val="clear" w:color="auto" w:fill="FFFFFF"/>
            <w:tcMar>
              <w:left w:w="80" w:type="dxa"/>
              <w:right w:w="80" w:type="dxa"/>
            </w:tcMar>
          </w:tcPr>
          <w:p w:rsidR="00E9759E" w:rsidRPr="0054753A" w:rsidRDefault="00E9759E" w:rsidP="0054753A">
            <w:pPr>
              <w:keepNext/>
              <w:autoSpaceDE w:val="0"/>
              <w:autoSpaceDN w:val="0"/>
              <w:adjustRightInd w:val="0"/>
              <w:spacing w:before="80" w:after="80"/>
              <w:rPr>
                <w:rFonts w:ascii="Calibri" w:hAnsi="Calibri" w:cs="Calibri"/>
                <w:b/>
                <w:bCs/>
                <w:color w:val="000000"/>
                <w:sz w:val="22"/>
                <w:szCs w:val="22"/>
              </w:rPr>
            </w:pPr>
            <w:r w:rsidRPr="0054753A">
              <w:rPr>
                <w:rFonts w:ascii="Calibri" w:hAnsi="Calibri" w:cs="Calibri"/>
                <w:b/>
                <w:bCs/>
                <w:color w:val="000000"/>
                <w:sz w:val="22"/>
                <w:szCs w:val="22"/>
              </w:rPr>
              <w:t>Unadjusted</w:t>
            </w:r>
          </w:p>
        </w:tc>
        <w:tc>
          <w:tcPr>
            <w:tcW w:w="2464" w:type="dxa"/>
            <w:tcBorders>
              <w:top w:val="nil"/>
              <w:left w:val="nil"/>
              <w:bottom w:val="nil"/>
              <w:right w:val="nil"/>
            </w:tcBorders>
            <w:shd w:val="clear" w:color="auto" w:fill="FFFFFF"/>
            <w:tcMar>
              <w:left w:w="80" w:type="dxa"/>
              <w:right w:w="80" w:type="dxa"/>
            </w:tcMar>
          </w:tcPr>
          <w:p w:rsidR="00E9759E" w:rsidRPr="0054753A" w:rsidRDefault="00E9759E" w:rsidP="0054753A">
            <w:pPr>
              <w:keepNext/>
              <w:autoSpaceDE w:val="0"/>
              <w:autoSpaceDN w:val="0"/>
              <w:adjustRightInd w:val="0"/>
              <w:spacing w:before="80" w:after="80"/>
              <w:rPr>
                <w:rFonts w:ascii="Calibri" w:hAnsi="Calibri" w:cs="Calibri"/>
                <w:b/>
                <w:bCs/>
                <w:color w:val="000000"/>
                <w:sz w:val="22"/>
                <w:szCs w:val="22"/>
              </w:rPr>
            </w:pPr>
            <w:r w:rsidRPr="0054753A">
              <w:rPr>
                <w:rFonts w:ascii="Calibri" w:hAnsi="Calibri" w:cs="Calibri"/>
                <w:b/>
                <w:bCs/>
                <w:color w:val="000000"/>
                <w:sz w:val="22"/>
                <w:szCs w:val="22"/>
              </w:rPr>
              <w:t>0</w:t>
            </w:r>
            <w:r>
              <w:rPr>
                <w:rFonts w:ascii="Calibri" w:hAnsi="Calibri" w:cs="Calibri"/>
                <w:b/>
                <w:bCs/>
                <w:color w:val="000000"/>
                <w:sz w:val="22"/>
                <w:szCs w:val="22"/>
              </w:rPr>
              <w:t>¢</w:t>
            </w:r>
          </w:p>
        </w:tc>
        <w:tc>
          <w:tcPr>
            <w:tcW w:w="2932" w:type="dxa"/>
            <w:tcBorders>
              <w:top w:val="nil"/>
              <w:left w:val="nil"/>
              <w:bottom w:val="nil"/>
              <w:right w:val="nil"/>
            </w:tcBorders>
            <w:shd w:val="clear" w:color="auto" w:fill="FFFFFF"/>
            <w:tcMar>
              <w:left w:w="80" w:type="dxa"/>
              <w:right w:w="80" w:type="dxa"/>
            </w:tcMar>
            <w:vAlign w:val="bottom"/>
          </w:tcPr>
          <w:p w:rsidR="00E9759E" w:rsidRPr="0054753A" w:rsidRDefault="00E9759E" w:rsidP="003A4764">
            <w:pPr>
              <w:keepNext/>
              <w:autoSpaceDE w:val="0"/>
              <w:autoSpaceDN w:val="0"/>
              <w:adjustRightInd w:val="0"/>
              <w:spacing w:before="80" w:after="80"/>
              <w:ind w:right="973"/>
              <w:jc w:val="right"/>
              <w:rPr>
                <w:rFonts w:ascii="Calibri" w:hAnsi="Calibri" w:cs="Calibri"/>
                <w:color w:val="000000"/>
                <w:sz w:val="20"/>
                <w:szCs w:val="20"/>
              </w:rPr>
            </w:pPr>
            <w:r w:rsidRPr="0054753A">
              <w:rPr>
                <w:rFonts w:ascii="Calibri" w:hAnsi="Calibri" w:cs="Calibri"/>
                <w:color w:val="000000"/>
                <w:sz w:val="20"/>
                <w:szCs w:val="20"/>
              </w:rPr>
              <w:t>1.09%</w:t>
            </w:r>
          </w:p>
        </w:tc>
      </w:tr>
      <w:tr w:rsidR="00E9759E" w:rsidRPr="0054753A" w:rsidTr="003A4764">
        <w:trPr>
          <w:cantSplit/>
        </w:trPr>
        <w:tc>
          <w:tcPr>
            <w:tcW w:w="1530" w:type="dxa"/>
            <w:vMerge/>
            <w:tcBorders>
              <w:top w:val="nil"/>
              <w:left w:val="nil"/>
              <w:bottom w:val="nil"/>
              <w:right w:val="nil"/>
            </w:tcBorders>
            <w:shd w:val="clear" w:color="auto" w:fill="FFFFFF"/>
            <w:tcMar>
              <w:left w:w="80" w:type="dxa"/>
              <w:right w:w="80" w:type="dxa"/>
            </w:tcMar>
          </w:tcPr>
          <w:p w:rsidR="00E9759E" w:rsidRPr="0054753A" w:rsidRDefault="00E9759E" w:rsidP="0054753A">
            <w:pPr>
              <w:autoSpaceDE w:val="0"/>
              <w:autoSpaceDN w:val="0"/>
              <w:adjustRightInd w:val="0"/>
              <w:rPr>
                <w:rFonts w:ascii="Times New Roman" w:hAnsi="Times New Roman"/>
              </w:rPr>
            </w:pPr>
          </w:p>
        </w:tc>
        <w:tc>
          <w:tcPr>
            <w:tcW w:w="2047" w:type="dxa"/>
            <w:tcBorders>
              <w:top w:val="nil"/>
              <w:left w:val="nil"/>
              <w:bottom w:val="nil"/>
              <w:right w:val="nil"/>
            </w:tcBorders>
            <w:shd w:val="clear" w:color="auto" w:fill="FFFFFF"/>
            <w:tcMar>
              <w:left w:w="80" w:type="dxa"/>
              <w:right w:w="80" w:type="dxa"/>
            </w:tcMar>
          </w:tcPr>
          <w:p w:rsidR="00E9759E" w:rsidRPr="0054753A" w:rsidRDefault="00E9759E" w:rsidP="0054753A">
            <w:pPr>
              <w:autoSpaceDE w:val="0"/>
              <w:autoSpaceDN w:val="0"/>
              <w:adjustRightInd w:val="0"/>
              <w:spacing w:before="80" w:after="80"/>
              <w:rPr>
                <w:rFonts w:ascii="Calibri" w:hAnsi="Calibri" w:cs="Calibri"/>
                <w:b/>
                <w:bCs/>
                <w:color w:val="000000"/>
                <w:sz w:val="22"/>
                <w:szCs w:val="22"/>
              </w:rPr>
            </w:pPr>
            <w:r w:rsidRPr="0054753A">
              <w:rPr>
                <w:rFonts w:ascii="Calibri" w:hAnsi="Calibri" w:cs="Calibri"/>
                <w:b/>
                <w:bCs/>
                <w:color w:val="000000"/>
                <w:sz w:val="22"/>
                <w:szCs w:val="22"/>
              </w:rPr>
              <w:t>Adjusted</w:t>
            </w:r>
          </w:p>
        </w:tc>
        <w:tc>
          <w:tcPr>
            <w:tcW w:w="2464" w:type="dxa"/>
            <w:tcBorders>
              <w:top w:val="nil"/>
              <w:left w:val="nil"/>
              <w:bottom w:val="nil"/>
              <w:right w:val="nil"/>
            </w:tcBorders>
            <w:shd w:val="clear" w:color="auto" w:fill="FFFFFF"/>
            <w:tcMar>
              <w:left w:w="80" w:type="dxa"/>
              <w:right w:w="80" w:type="dxa"/>
            </w:tcMar>
          </w:tcPr>
          <w:p w:rsidR="00E9759E" w:rsidRPr="0054753A" w:rsidRDefault="00E9759E" w:rsidP="0054753A">
            <w:pPr>
              <w:autoSpaceDE w:val="0"/>
              <w:autoSpaceDN w:val="0"/>
              <w:adjustRightInd w:val="0"/>
              <w:spacing w:before="80" w:after="80"/>
              <w:rPr>
                <w:rFonts w:ascii="Calibri" w:hAnsi="Calibri" w:cs="Calibri"/>
                <w:b/>
                <w:bCs/>
                <w:color w:val="000000"/>
                <w:sz w:val="22"/>
                <w:szCs w:val="22"/>
              </w:rPr>
            </w:pPr>
            <w:r w:rsidRPr="0054753A">
              <w:rPr>
                <w:rFonts w:ascii="Calibri" w:hAnsi="Calibri" w:cs="Calibri"/>
                <w:b/>
                <w:bCs/>
                <w:color w:val="000000"/>
                <w:sz w:val="22"/>
                <w:szCs w:val="22"/>
              </w:rPr>
              <w:t>0.275</w:t>
            </w:r>
            <w:r>
              <w:rPr>
                <w:rFonts w:ascii="Calibri" w:hAnsi="Calibri" w:cs="Calibri"/>
                <w:b/>
                <w:bCs/>
                <w:color w:val="000000"/>
                <w:sz w:val="22"/>
                <w:szCs w:val="22"/>
              </w:rPr>
              <w:t>¢</w:t>
            </w:r>
          </w:p>
        </w:tc>
        <w:tc>
          <w:tcPr>
            <w:tcW w:w="2932" w:type="dxa"/>
            <w:tcBorders>
              <w:top w:val="nil"/>
              <w:left w:val="nil"/>
              <w:bottom w:val="nil"/>
              <w:right w:val="nil"/>
            </w:tcBorders>
            <w:shd w:val="clear" w:color="auto" w:fill="FFFFFF"/>
            <w:tcMar>
              <w:left w:w="80" w:type="dxa"/>
              <w:right w:w="80" w:type="dxa"/>
            </w:tcMar>
            <w:vAlign w:val="bottom"/>
          </w:tcPr>
          <w:p w:rsidR="00E9759E" w:rsidRPr="0054753A" w:rsidRDefault="00E9759E" w:rsidP="003A4764">
            <w:pPr>
              <w:autoSpaceDE w:val="0"/>
              <w:autoSpaceDN w:val="0"/>
              <w:adjustRightInd w:val="0"/>
              <w:spacing w:before="80" w:after="80"/>
              <w:ind w:right="973"/>
              <w:jc w:val="right"/>
              <w:rPr>
                <w:rFonts w:ascii="Calibri" w:hAnsi="Calibri" w:cs="Calibri"/>
                <w:color w:val="000000"/>
                <w:sz w:val="20"/>
                <w:szCs w:val="20"/>
              </w:rPr>
            </w:pPr>
            <w:r w:rsidRPr="0054753A">
              <w:rPr>
                <w:rFonts w:ascii="Calibri" w:hAnsi="Calibri" w:cs="Calibri"/>
                <w:color w:val="000000"/>
                <w:sz w:val="20"/>
                <w:szCs w:val="20"/>
              </w:rPr>
              <w:t>1.17%</w:t>
            </w:r>
          </w:p>
        </w:tc>
      </w:tr>
      <w:tr w:rsidR="00E9759E" w:rsidRPr="0054753A" w:rsidTr="003A4764">
        <w:trPr>
          <w:cantSplit/>
        </w:trPr>
        <w:tc>
          <w:tcPr>
            <w:tcW w:w="1530" w:type="dxa"/>
            <w:vMerge w:val="restart"/>
            <w:tcBorders>
              <w:top w:val="nil"/>
              <w:left w:val="nil"/>
              <w:bottom w:val="nil"/>
              <w:right w:val="nil"/>
            </w:tcBorders>
            <w:shd w:val="clear" w:color="auto" w:fill="FFFFFF"/>
            <w:tcMar>
              <w:left w:w="80" w:type="dxa"/>
              <w:right w:w="80" w:type="dxa"/>
            </w:tcMar>
          </w:tcPr>
          <w:p w:rsidR="00E9759E" w:rsidRPr="0054753A" w:rsidRDefault="00E9759E" w:rsidP="0054753A">
            <w:pPr>
              <w:keepNext/>
              <w:autoSpaceDE w:val="0"/>
              <w:autoSpaceDN w:val="0"/>
              <w:adjustRightInd w:val="0"/>
              <w:spacing w:before="80" w:after="80"/>
              <w:rPr>
                <w:rFonts w:ascii="Calibri" w:hAnsi="Calibri" w:cs="Calibri"/>
                <w:b/>
                <w:bCs/>
                <w:color w:val="000000"/>
                <w:sz w:val="22"/>
                <w:szCs w:val="22"/>
              </w:rPr>
            </w:pPr>
            <w:r w:rsidRPr="0054753A">
              <w:rPr>
                <w:rFonts w:ascii="Calibri" w:hAnsi="Calibri" w:cs="Calibri"/>
                <w:b/>
                <w:bCs/>
                <w:color w:val="000000"/>
                <w:sz w:val="22"/>
                <w:szCs w:val="22"/>
              </w:rPr>
              <w:t>10</w:t>
            </w:r>
            <w:r w:rsidR="00D20E36">
              <w:rPr>
                <w:rFonts w:ascii="Calibri" w:hAnsi="Calibri" w:cs="Calibri"/>
                <w:b/>
                <w:bCs/>
                <w:color w:val="000000"/>
                <w:sz w:val="22"/>
                <w:szCs w:val="22"/>
              </w:rPr>
              <w:t>s</w:t>
            </w:r>
          </w:p>
        </w:tc>
        <w:tc>
          <w:tcPr>
            <w:tcW w:w="2047" w:type="dxa"/>
            <w:tcBorders>
              <w:top w:val="nil"/>
              <w:left w:val="nil"/>
              <w:bottom w:val="nil"/>
              <w:right w:val="nil"/>
            </w:tcBorders>
            <w:shd w:val="clear" w:color="auto" w:fill="FFFFFF"/>
            <w:tcMar>
              <w:left w:w="80" w:type="dxa"/>
              <w:right w:w="80" w:type="dxa"/>
            </w:tcMar>
          </w:tcPr>
          <w:p w:rsidR="00E9759E" w:rsidRPr="0054753A" w:rsidRDefault="00E9759E" w:rsidP="0054753A">
            <w:pPr>
              <w:keepNext/>
              <w:autoSpaceDE w:val="0"/>
              <w:autoSpaceDN w:val="0"/>
              <w:adjustRightInd w:val="0"/>
              <w:spacing w:before="80" w:after="80"/>
              <w:rPr>
                <w:rFonts w:ascii="Calibri" w:hAnsi="Calibri" w:cs="Calibri"/>
                <w:b/>
                <w:bCs/>
                <w:color w:val="000000"/>
                <w:sz w:val="22"/>
                <w:szCs w:val="22"/>
              </w:rPr>
            </w:pPr>
            <w:r w:rsidRPr="0054753A">
              <w:rPr>
                <w:rFonts w:ascii="Calibri" w:hAnsi="Calibri" w:cs="Calibri"/>
                <w:b/>
                <w:bCs/>
                <w:color w:val="000000"/>
                <w:sz w:val="22"/>
                <w:szCs w:val="22"/>
              </w:rPr>
              <w:t>Quote midpoint</w:t>
            </w:r>
          </w:p>
        </w:tc>
        <w:tc>
          <w:tcPr>
            <w:tcW w:w="2464" w:type="dxa"/>
            <w:tcBorders>
              <w:top w:val="nil"/>
              <w:left w:val="nil"/>
              <w:bottom w:val="nil"/>
              <w:right w:val="nil"/>
            </w:tcBorders>
            <w:shd w:val="clear" w:color="auto" w:fill="FFFFFF"/>
            <w:tcMar>
              <w:left w:w="80" w:type="dxa"/>
              <w:right w:w="80" w:type="dxa"/>
            </w:tcMar>
          </w:tcPr>
          <w:p w:rsidR="00E9759E" w:rsidRPr="0054753A" w:rsidRDefault="00E9759E" w:rsidP="0054753A">
            <w:pPr>
              <w:keepNext/>
              <w:autoSpaceDE w:val="0"/>
              <w:autoSpaceDN w:val="0"/>
              <w:adjustRightInd w:val="0"/>
              <w:spacing w:before="80" w:after="80"/>
              <w:rPr>
                <w:rFonts w:ascii="Calibri" w:hAnsi="Calibri" w:cs="Calibri"/>
                <w:b/>
                <w:bCs/>
                <w:color w:val="000000"/>
                <w:sz w:val="22"/>
                <w:szCs w:val="22"/>
              </w:rPr>
            </w:pPr>
          </w:p>
        </w:tc>
        <w:tc>
          <w:tcPr>
            <w:tcW w:w="2932" w:type="dxa"/>
            <w:tcBorders>
              <w:top w:val="nil"/>
              <w:left w:val="nil"/>
              <w:bottom w:val="nil"/>
              <w:right w:val="nil"/>
            </w:tcBorders>
            <w:shd w:val="clear" w:color="auto" w:fill="FFFFFF"/>
            <w:tcMar>
              <w:left w:w="80" w:type="dxa"/>
              <w:right w:w="80" w:type="dxa"/>
            </w:tcMar>
            <w:vAlign w:val="bottom"/>
          </w:tcPr>
          <w:p w:rsidR="00E9759E" w:rsidRPr="0054753A" w:rsidRDefault="00E9759E" w:rsidP="003A4764">
            <w:pPr>
              <w:keepNext/>
              <w:autoSpaceDE w:val="0"/>
              <w:autoSpaceDN w:val="0"/>
              <w:adjustRightInd w:val="0"/>
              <w:spacing w:before="80" w:after="80"/>
              <w:ind w:right="973"/>
              <w:jc w:val="right"/>
              <w:rPr>
                <w:rFonts w:ascii="Calibri" w:hAnsi="Calibri" w:cs="Calibri"/>
                <w:color w:val="000000"/>
                <w:sz w:val="20"/>
                <w:szCs w:val="20"/>
              </w:rPr>
            </w:pPr>
            <w:r w:rsidRPr="0054753A">
              <w:rPr>
                <w:rFonts w:ascii="Calibri" w:hAnsi="Calibri" w:cs="Calibri"/>
                <w:color w:val="000000"/>
                <w:sz w:val="20"/>
                <w:szCs w:val="20"/>
              </w:rPr>
              <w:t>1.22%</w:t>
            </w:r>
          </w:p>
        </w:tc>
      </w:tr>
      <w:tr w:rsidR="00E9759E" w:rsidRPr="0054753A" w:rsidTr="003A4764">
        <w:trPr>
          <w:cantSplit/>
        </w:trPr>
        <w:tc>
          <w:tcPr>
            <w:tcW w:w="1530" w:type="dxa"/>
            <w:vMerge/>
            <w:tcBorders>
              <w:top w:val="nil"/>
              <w:left w:val="nil"/>
              <w:bottom w:val="nil"/>
              <w:right w:val="nil"/>
            </w:tcBorders>
            <w:shd w:val="clear" w:color="auto" w:fill="FFFFFF"/>
            <w:tcMar>
              <w:left w:w="80" w:type="dxa"/>
              <w:right w:w="80" w:type="dxa"/>
            </w:tcMar>
          </w:tcPr>
          <w:p w:rsidR="00E9759E" w:rsidRPr="0054753A" w:rsidRDefault="00E9759E" w:rsidP="0054753A">
            <w:pPr>
              <w:keepNext/>
              <w:autoSpaceDE w:val="0"/>
              <w:autoSpaceDN w:val="0"/>
              <w:adjustRightInd w:val="0"/>
              <w:rPr>
                <w:rFonts w:ascii="Times New Roman" w:hAnsi="Times New Roman"/>
              </w:rPr>
            </w:pPr>
          </w:p>
        </w:tc>
        <w:tc>
          <w:tcPr>
            <w:tcW w:w="2047" w:type="dxa"/>
            <w:tcBorders>
              <w:top w:val="nil"/>
              <w:left w:val="nil"/>
              <w:bottom w:val="nil"/>
              <w:right w:val="nil"/>
            </w:tcBorders>
            <w:shd w:val="clear" w:color="auto" w:fill="FFFFFF"/>
            <w:tcMar>
              <w:left w:w="80" w:type="dxa"/>
              <w:right w:w="80" w:type="dxa"/>
            </w:tcMar>
          </w:tcPr>
          <w:p w:rsidR="00E9759E" w:rsidRPr="0054753A" w:rsidRDefault="00E9759E" w:rsidP="0054753A">
            <w:pPr>
              <w:keepNext/>
              <w:autoSpaceDE w:val="0"/>
              <w:autoSpaceDN w:val="0"/>
              <w:adjustRightInd w:val="0"/>
              <w:spacing w:before="80" w:after="80"/>
              <w:rPr>
                <w:rFonts w:ascii="Calibri" w:hAnsi="Calibri" w:cs="Calibri"/>
                <w:b/>
                <w:bCs/>
                <w:color w:val="000000"/>
                <w:sz w:val="22"/>
                <w:szCs w:val="22"/>
              </w:rPr>
            </w:pPr>
            <w:r w:rsidRPr="0054753A">
              <w:rPr>
                <w:rFonts w:ascii="Calibri" w:hAnsi="Calibri" w:cs="Calibri"/>
                <w:b/>
                <w:bCs/>
                <w:color w:val="000000"/>
                <w:sz w:val="22"/>
                <w:szCs w:val="22"/>
              </w:rPr>
              <w:t>Unadjusted</w:t>
            </w:r>
          </w:p>
        </w:tc>
        <w:tc>
          <w:tcPr>
            <w:tcW w:w="2464" w:type="dxa"/>
            <w:tcBorders>
              <w:top w:val="nil"/>
              <w:left w:val="nil"/>
              <w:bottom w:val="nil"/>
              <w:right w:val="nil"/>
            </w:tcBorders>
            <w:shd w:val="clear" w:color="auto" w:fill="FFFFFF"/>
            <w:tcMar>
              <w:left w:w="80" w:type="dxa"/>
              <w:right w:w="80" w:type="dxa"/>
            </w:tcMar>
          </w:tcPr>
          <w:p w:rsidR="00E9759E" w:rsidRPr="0054753A" w:rsidRDefault="00E9759E" w:rsidP="0054753A">
            <w:pPr>
              <w:keepNext/>
              <w:autoSpaceDE w:val="0"/>
              <w:autoSpaceDN w:val="0"/>
              <w:adjustRightInd w:val="0"/>
              <w:spacing w:before="80" w:after="80"/>
              <w:rPr>
                <w:rFonts w:ascii="Calibri" w:hAnsi="Calibri" w:cs="Calibri"/>
                <w:b/>
                <w:bCs/>
                <w:color w:val="000000"/>
                <w:sz w:val="22"/>
                <w:szCs w:val="22"/>
              </w:rPr>
            </w:pPr>
            <w:r w:rsidRPr="0054753A">
              <w:rPr>
                <w:rFonts w:ascii="Calibri" w:hAnsi="Calibri" w:cs="Calibri"/>
                <w:b/>
                <w:bCs/>
                <w:color w:val="000000"/>
                <w:sz w:val="22"/>
                <w:szCs w:val="22"/>
              </w:rPr>
              <w:t>0</w:t>
            </w:r>
            <w:r>
              <w:rPr>
                <w:rFonts w:ascii="Calibri" w:hAnsi="Calibri" w:cs="Calibri"/>
                <w:b/>
                <w:bCs/>
                <w:color w:val="000000"/>
                <w:sz w:val="22"/>
                <w:szCs w:val="22"/>
              </w:rPr>
              <w:t>¢</w:t>
            </w:r>
          </w:p>
        </w:tc>
        <w:tc>
          <w:tcPr>
            <w:tcW w:w="2932" w:type="dxa"/>
            <w:tcBorders>
              <w:top w:val="nil"/>
              <w:left w:val="nil"/>
              <w:bottom w:val="nil"/>
              <w:right w:val="nil"/>
            </w:tcBorders>
            <w:shd w:val="clear" w:color="auto" w:fill="FFFFFF"/>
            <w:tcMar>
              <w:left w:w="80" w:type="dxa"/>
              <w:right w:w="80" w:type="dxa"/>
            </w:tcMar>
            <w:vAlign w:val="bottom"/>
          </w:tcPr>
          <w:p w:rsidR="00E9759E" w:rsidRPr="0054753A" w:rsidRDefault="00E9759E" w:rsidP="003A4764">
            <w:pPr>
              <w:keepNext/>
              <w:autoSpaceDE w:val="0"/>
              <w:autoSpaceDN w:val="0"/>
              <w:adjustRightInd w:val="0"/>
              <w:spacing w:before="80" w:after="80"/>
              <w:ind w:right="973"/>
              <w:jc w:val="right"/>
              <w:rPr>
                <w:rFonts w:ascii="Calibri" w:hAnsi="Calibri" w:cs="Calibri"/>
                <w:color w:val="000000"/>
                <w:sz w:val="20"/>
                <w:szCs w:val="20"/>
              </w:rPr>
            </w:pPr>
            <w:r w:rsidRPr="0054753A">
              <w:rPr>
                <w:rFonts w:ascii="Calibri" w:hAnsi="Calibri" w:cs="Calibri"/>
                <w:color w:val="000000"/>
                <w:sz w:val="20"/>
                <w:szCs w:val="20"/>
              </w:rPr>
              <w:t>1.59%</w:t>
            </w:r>
          </w:p>
        </w:tc>
      </w:tr>
      <w:tr w:rsidR="00E9759E" w:rsidRPr="0054753A" w:rsidTr="003A4764">
        <w:trPr>
          <w:cantSplit/>
        </w:trPr>
        <w:tc>
          <w:tcPr>
            <w:tcW w:w="1530" w:type="dxa"/>
            <w:vMerge/>
            <w:tcBorders>
              <w:top w:val="nil"/>
              <w:left w:val="nil"/>
              <w:bottom w:val="nil"/>
              <w:right w:val="nil"/>
            </w:tcBorders>
            <w:shd w:val="clear" w:color="auto" w:fill="FFFFFF"/>
            <w:tcMar>
              <w:left w:w="80" w:type="dxa"/>
              <w:right w:w="80" w:type="dxa"/>
            </w:tcMar>
          </w:tcPr>
          <w:p w:rsidR="00E9759E" w:rsidRPr="0054753A" w:rsidRDefault="00E9759E" w:rsidP="0054753A">
            <w:pPr>
              <w:autoSpaceDE w:val="0"/>
              <w:autoSpaceDN w:val="0"/>
              <w:adjustRightInd w:val="0"/>
              <w:rPr>
                <w:rFonts w:ascii="Times New Roman" w:hAnsi="Times New Roman"/>
              </w:rPr>
            </w:pPr>
          </w:p>
        </w:tc>
        <w:tc>
          <w:tcPr>
            <w:tcW w:w="2047" w:type="dxa"/>
            <w:tcBorders>
              <w:top w:val="nil"/>
              <w:left w:val="nil"/>
              <w:bottom w:val="nil"/>
              <w:right w:val="nil"/>
            </w:tcBorders>
            <w:shd w:val="clear" w:color="auto" w:fill="FFFFFF"/>
            <w:tcMar>
              <w:left w:w="80" w:type="dxa"/>
              <w:right w:w="80" w:type="dxa"/>
            </w:tcMar>
          </w:tcPr>
          <w:p w:rsidR="00E9759E" w:rsidRPr="0054753A" w:rsidRDefault="00E9759E" w:rsidP="0054753A">
            <w:pPr>
              <w:autoSpaceDE w:val="0"/>
              <w:autoSpaceDN w:val="0"/>
              <w:adjustRightInd w:val="0"/>
              <w:spacing w:before="80" w:after="80"/>
              <w:rPr>
                <w:rFonts w:ascii="Calibri" w:hAnsi="Calibri" w:cs="Calibri"/>
                <w:b/>
                <w:bCs/>
                <w:color w:val="000000"/>
                <w:sz w:val="22"/>
                <w:szCs w:val="22"/>
              </w:rPr>
            </w:pPr>
            <w:r w:rsidRPr="0054753A">
              <w:rPr>
                <w:rFonts w:ascii="Calibri" w:hAnsi="Calibri" w:cs="Calibri"/>
                <w:b/>
                <w:bCs/>
                <w:color w:val="000000"/>
                <w:sz w:val="22"/>
                <w:szCs w:val="22"/>
              </w:rPr>
              <w:t>Adjusted</w:t>
            </w:r>
          </w:p>
        </w:tc>
        <w:tc>
          <w:tcPr>
            <w:tcW w:w="2464" w:type="dxa"/>
            <w:tcBorders>
              <w:top w:val="nil"/>
              <w:left w:val="nil"/>
              <w:bottom w:val="nil"/>
              <w:right w:val="nil"/>
            </w:tcBorders>
            <w:shd w:val="clear" w:color="auto" w:fill="FFFFFF"/>
            <w:tcMar>
              <w:left w:w="80" w:type="dxa"/>
              <w:right w:w="80" w:type="dxa"/>
            </w:tcMar>
          </w:tcPr>
          <w:p w:rsidR="00E9759E" w:rsidRPr="0054753A" w:rsidRDefault="00E9759E" w:rsidP="0054753A">
            <w:pPr>
              <w:autoSpaceDE w:val="0"/>
              <w:autoSpaceDN w:val="0"/>
              <w:adjustRightInd w:val="0"/>
              <w:spacing w:before="80" w:after="80"/>
              <w:rPr>
                <w:rFonts w:ascii="Calibri" w:hAnsi="Calibri" w:cs="Calibri"/>
                <w:b/>
                <w:bCs/>
                <w:color w:val="000000"/>
                <w:sz w:val="22"/>
                <w:szCs w:val="22"/>
              </w:rPr>
            </w:pPr>
            <w:r w:rsidRPr="0054753A">
              <w:rPr>
                <w:rFonts w:ascii="Calibri" w:hAnsi="Calibri" w:cs="Calibri"/>
                <w:b/>
                <w:bCs/>
                <w:color w:val="000000"/>
                <w:sz w:val="22"/>
                <w:szCs w:val="22"/>
              </w:rPr>
              <w:t>0.275</w:t>
            </w:r>
            <w:r>
              <w:rPr>
                <w:rFonts w:ascii="Calibri" w:hAnsi="Calibri" w:cs="Calibri"/>
                <w:b/>
                <w:bCs/>
                <w:color w:val="000000"/>
                <w:sz w:val="22"/>
                <w:szCs w:val="22"/>
              </w:rPr>
              <w:t>¢</w:t>
            </w:r>
          </w:p>
        </w:tc>
        <w:tc>
          <w:tcPr>
            <w:tcW w:w="2932" w:type="dxa"/>
            <w:tcBorders>
              <w:top w:val="nil"/>
              <w:left w:val="nil"/>
              <w:bottom w:val="nil"/>
              <w:right w:val="nil"/>
            </w:tcBorders>
            <w:shd w:val="clear" w:color="auto" w:fill="FFFFFF"/>
            <w:tcMar>
              <w:left w:w="80" w:type="dxa"/>
              <w:right w:w="80" w:type="dxa"/>
            </w:tcMar>
            <w:vAlign w:val="bottom"/>
          </w:tcPr>
          <w:p w:rsidR="00E9759E" w:rsidRPr="0054753A" w:rsidRDefault="00E9759E" w:rsidP="003A4764">
            <w:pPr>
              <w:autoSpaceDE w:val="0"/>
              <w:autoSpaceDN w:val="0"/>
              <w:adjustRightInd w:val="0"/>
              <w:spacing w:before="80" w:after="80"/>
              <w:ind w:right="973"/>
              <w:jc w:val="right"/>
              <w:rPr>
                <w:rFonts w:ascii="Calibri" w:hAnsi="Calibri" w:cs="Calibri"/>
                <w:color w:val="000000"/>
                <w:sz w:val="20"/>
                <w:szCs w:val="20"/>
              </w:rPr>
            </w:pPr>
            <w:r w:rsidRPr="0054753A">
              <w:rPr>
                <w:rFonts w:ascii="Calibri" w:hAnsi="Calibri" w:cs="Calibri"/>
                <w:color w:val="000000"/>
                <w:sz w:val="20"/>
                <w:szCs w:val="20"/>
              </w:rPr>
              <w:t>1.67%</w:t>
            </w:r>
          </w:p>
        </w:tc>
      </w:tr>
      <w:tr w:rsidR="00E9759E" w:rsidRPr="0054753A" w:rsidTr="003A4764">
        <w:trPr>
          <w:cantSplit/>
        </w:trPr>
        <w:tc>
          <w:tcPr>
            <w:tcW w:w="1530" w:type="dxa"/>
            <w:vMerge w:val="restart"/>
            <w:tcBorders>
              <w:top w:val="nil"/>
              <w:left w:val="nil"/>
              <w:bottom w:val="nil"/>
              <w:right w:val="nil"/>
            </w:tcBorders>
            <w:shd w:val="clear" w:color="auto" w:fill="FFFFFF"/>
            <w:tcMar>
              <w:left w:w="80" w:type="dxa"/>
              <w:right w:w="80" w:type="dxa"/>
            </w:tcMar>
          </w:tcPr>
          <w:p w:rsidR="00E9759E" w:rsidRPr="0054753A" w:rsidRDefault="00E9759E" w:rsidP="0054753A">
            <w:pPr>
              <w:keepNext/>
              <w:autoSpaceDE w:val="0"/>
              <w:autoSpaceDN w:val="0"/>
              <w:adjustRightInd w:val="0"/>
              <w:spacing w:before="80" w:after="80"/>
              <w:rPr>
                <w:rFonts w:ascii="Calibri" w:hAnsi="Calibri" w:cs="Calibri"/>
                <w:b/>
                <w:bCs/>
                <w:color w:val="000000"/>
                <w:sz w:val="22"/>
                <w:szCs w:val="22"/>
              </w:rPr>
            </w:pPr>
            <w:r w:rsidRPr="0054753A">
              <w:rPr>
                <w:rFonts w:ascii="Calibri" w:hAnsi="Calibri" w:cs="Calibri"/>
                <w:b/>
                <w:bCs/>
                <w:color w:val="000000"/>
                <w:sz w:val="22"/>
                <w:szCs w:val="22"/>
              </w:rPr>
              <w:t>20</w:t>
            </w:r>
            <w:r w:rsidR="00D20E36">
              <w:rPr>
                <w:rFonts w:ascii="Calibri" w:hAnsi="Calibri" w:cs="Calibri"/>
                <w:b/>
                <w:bCs/>
                <w:color w:val="000000"/>
                <w:sz w:val="22"/>
                <w:szCs w:val="22"/>
              </w:rPr>
              <w:t>s</w:t>
            </w:r>
          </w:p>
        </w:tc>
        <w:tc>
          <w:tcPr>
            <w:tcW w:w="2047" w:type="dxa"/>
            <w:tcBorders>
              <w:top w:val="nil"/>
              <w:left w:val="nil"/>
              <w:bottom w:val="nil"/>
              <w:right w:val="nil"/>
            </w:tcBorders>
            <w:shd w:val="clear" w:color="auto" w:fill="FFFFFF"/>
            <w:tcMar>
              <w:left w:w="80" w:type="dxa"/>
              <w:right w:w="80" w:type="dxa"/>
            </w:tcMar>
          </w:tcPr>
          <w:p w:rsidR="00E9759E" w:rsidRPr="0054753A" w:rsidRDefault="00E9759E" w:rsidP="0054753A">
            <w:pPr>
              <w:keepNext/>
              <w:autoSpaceDE w:val="0"/>
              <w:autoSpaceDN w:val="0"/>
              <w:adjustRightInd w:val="0"/>
              <w:spacing w:before="80" w:after="80"/>
              <w:rPr>
                <w:rFonts w:ascii="Calibri" w:hAnsi="Calibri" w:cs="Calibri"/>
                <w:b/>
                <w:bCs/>
                <w:color w:val="000000"/>
                <w:sz w:val="22"/>
                <w:szCs w:val="22"/>
              </w:rPr>
            </w:pPr>
            <w:r w:rsidRPr="0054753A">
              <w:rPr>
                <w:rFonts w:ascii="Calibri" w:hAnsi="Calibri" w:cs="Calibri"/>
                <w:b/>
                <w:bCs/>
                <w:color w:val="000000"/>
                <w:sz w:val="22"/>
                <w:szCs w:val="22"/>
              </w:rPr>
              <w:t>Quote midpoint</w:t>
            </w:r>
          </w:p>
        </w:tc>
        <w:tc>
          <w:tcPr>
            <w:tcW w:w="2464" w:type="dxa"/>
            <w:tcBorders>
              <w:top w:val="nil"/>
              <w:left w:val="nil"/>
              <w:bottom w:val="nil"/>
              <w:right w:val="nil"/>
            </w:tcBorders>
            <w:shd w:val="clear" w:color="auto" w:fill="FFFFFF"/>
            <w:tcMar>
              <w:left w:w="80" w:type="dxa"/>
              <w:right w:w="80" w:type="dxa"/>
            </w:tcMar>
          </w:tcPr>
          <w:p w:rsidR="00E9759E" w:rsidRPr="0054753A" w:rsidRDefault="00E9759E" w:rsidP="0054753A">
            <w:pPr>
              <w:keepNext/>
              <w:autoSpaceDE w:val="0"/>
              <w:autoSpaceDN w:val="0"/>
              <w:adjustRightInd w:val="0"/>
              <w:spacing w:before="80" w:after="80"/>
              <w:rPr>
                <w:rFonts w:ascii="Calibri" w:hAnsi="Calibri" w:cs="Calibri"/>
                <w:b/>
                <w:bCs/>
                <w:color w:val="000000"/>
                <w:sz w:val="22"/>
                <w:szCs w:val="22"/>
              </w:rPr>
            </w:pPr>
          </w:p>
        </w:tc>
        <w:tc>
          <w:tcPr>
            <w:tcW w:w="2932" w:type="dxa"/>
            <w:tcBorders>
              <w:top w:val="nil"/>
              <w:left w:val="nil"/>
              <w:bottom w:val="nil"/>
              <w:right w:val="nil"/>
            </w:tcBorders>
            <w:shd w:val="clear" w:color="auto" w:fill="FFFFFF"/>
            <w:tcMar>
              <w:left w:w="80" w:type="dxa"/>
              <w:right w:w="80" w:type="dxa"/>
            </w:tcMar>
            <w:vAlign w:val="bottom"/>
          </w:tcPr>
          <w:p w:rsidR="00E9759E" w:rsidRPr="0054753A" w:rsidRDefault="00E9759E" w:rsidP="003A4764">
            <w:pPr>
              <w:keepNext/>
              <w:autoSpaceDE w:val="0"/>
              <w:autoSpaceDN w:val="0"/>
              <w:adjustRightInd w:val="0"/>
              <w:spacing w:before="80" w:after="80"/>
              <w:ind w:right="973"/>
              <w:jc w:val="right"/>
              <w:rPr>
                <w:rFonts w:ascii="Calibri" w:hAnsi="Calibri" w:cs="Calibri"/>
                <w:color w:val="000000"/>
                <w:sz w:val="20"/>
                <w:szCs w:val="20"/>
              </w:rPr>
            </w:pPr>
            <w:r w:rsidRPr="0054753A">
              <w:rPr>
                <w:rFonts w:ascii="Calibri" w:hAnsi="Calibri" w:cs="Calibri"/>
                <w:color w:val="000000"/>
                <w:sz w:val="20"/>
                <w:szCs w:val="20"/>
              </w:rPr>
              <w:t>1.93%</w:t>
            </w:r>
          </w:p>
        </w:tc>
      </w:tr>
      <w:tr w:rsidR="00E9759E" w:rsidRPr="0054753A" w:rsidTr="003A4764">
        <w:trPr>
          <w:cantSplit/>
        </w:trPr>
        <w:tc>
          <w:tcPr>
            <w:tcW w:w="1530" w:type="dxa"/>
            <w:vMerge/>
            <w:tcBorders>
              <w:top w:val="nil"/>
              <w:left w:val="nil"/>
              <w:bottom w:val="nil"/>
              <w:right w:val="nil"/>
            </w:tcBorders>
            <w:shd w:val="clear" w:color="auto" w:fill="FFFFFF"/>
            <w:tcMar>
              <w:left w:w="80" w:type="dxa"/>
              <w:right w:w="80" w:type="dxa"/>
            </w:tcMar>
          </w:tcPr>
          <w:p w:rsidR="00E9759E" w:rsidRPr="0054753A" w:rsidRDefault="00E9759E" w:rsidP="0054753A">
            <w:pPr>
              <w:keepNext/>
              <w:autoSpaceDE w:val="0"/>
              <w:autoSpaceDN w:val="0"/>
              <w:adjustRightInd w:val="0"/>
              <w:rPr>
                <w:rFonts w:ascii="Times New Roman" w:hAnsi="Times New Roman"/>
              </w:rPr>
            </w:pPr>
          </w:p>
        </w:tc>
        <w:tc>
          <w:tcPr>
            <w:tcW w:w="2047" w:type="dxa"/>
            <w:tcBorders>
              <w:top w:val="nil"/>
              <w:left w:val="nil"/>
              <w:bottom w:val="nil"/>
              <w:right w:val="nil"/>
            </w:tcBorders>
            <w:shd w:val="clear" w:color="auto" w:fill="FFFFFF"/>
            <w:tcMar>
              <w:left w:w="80" w:type="dxa"/>
              <w:right w:w="80" w:type="dxa"/>
            </w:tcMar>
          </w:tcPr>
          <w:p w:rsidR="00E9759E" w:rsidRPr="0054753A" w:rsidRDefault="00E9759E" w:rsidP="0054753A">
            <w:pPr>
              <w:keepNext/>
              <w:autoSpaceDE w:val="0"/>
              <w:autoSpaceDN w:val="0"/>
              <w:adjustRightInd w:val="0"/>
              <w:spacing w:before="80" w:after="80"/>
              <w:rPr>
                <w:rFonts w:ascii="Calibri" w:hAnsi="Calibri" w:cs="Calibri"/>
                <w:b/>
                <w:bCs/>
                <w:color w:val="000000"/>
                <w:sz w:val="22"/>
                <w:szCs w:val="22"/>
              </w:rPr>
            </w:pPr>
            <w:r w:rsidRPr="0054753A">
              <w:rPr>
                <w:rFonts w:ascii="Calibri" w:hAnsi="Calibri" w:cs="Calibri"/>
                <w:b/>
                <w:bCs/>
                <w:color w:val="000000"/>
                <w:sz w:val="22"/>
                <w:szCs w:val="22"/>
              </w:rPr>
              <w:t>Unadjusted</w:t>
            </w:r>
          </w:p>
        </w:tc>
        <w:tc>
          <w:tcPr>
            <w:tcW w:w="2464" w:type="dxa"/>
            <w:tcBorders>
              <w:top w:val="nil"/>
              <w:left w:val="nil"/>
              <w:bottom w:val="nil"/>
              <w:right w:val="nil"/>
            </w:tcBorders>
            <w:shd w:val="clear" w:color="auto" w:fill="FFFFFF"/>
            <w:tcMar>
              <w:left w:w="80" w:type="dxa"/>
              <w:right w:w="80" w:type="dxa"/>
            </w:tcMar>
          </w:tcPr>
          <w:p w:rsidR="00E9759E" w:rsidRPr="0054753A" w:rsidRDefault="00E9759E" w:rsidP="0054753A">
            <w:pPr>
              <w:keepNext/>
              <w:autoSpaceDE w:val="0"/>
              <w:autoSpaceDN w:val="0"/>
              <w:adjustRightInd w:val="0"/>
              <w:spacing w:before="80" w:after="80"/>
              <w:rPr>
                <w:rFonts w:ascii="Calibri" w:hAnsi="Calibri" w:cs="Calibri"/>
                <w:b/>
                <w:bCs/>
                <w:color w:val="000000"/>
                <w:sz w:val="22"/>
                <w:szCs w:val="22"/>
              </w:rPr>
            </w:pPr>
            <w:r w:rsidRPr="0054753A">
              <w:rPr>
                <w:rFonts w:ascii="Calibri" w:hAnsi="Calibri" w:cs="Calibri"/>
                <w:b/>
                <w:bCs/>
                <w:color w:val="000000"/>
                <w:sz w:val="22"/>
                <w:szCs w:val="22"/>
              </w:rPr>
              <w:t>0</w:t>
            </w:r>
            <w:r>
              <w:rPr>
                <w:rFonts w:ascii="Calibri" w:hAnsi="Calibri" w:cs="Calibri"/>
                <w:b/>
                <w:bCs/>
                <w:color w:val="000000"/>
                <w:sz w:val="22"/>
                <w:szCs w:val="22"/>
              </w:rPr>
              <w:t>¢</w:t>
            </w:r>
          </w:p>
        </w:tc>
        <w:tc>
          <w:tcPr>
            <w:tcW w:w="2932" w:type="dxa"/>
            <w:tcBorders>
              <w:top w:val="nil"/>
              <w:left w:val="nil"/>
              <w:bottom w:val="nil"/>
              <w:right w:val="nil"/>
            </w:tcBorders>
            <w:shd w:val="clear" w:color="auto" w:fill="FFFFFF"/>
            <w:tcMar>
              <w:left w:w="80" w:type="dxa"/>
              <w:right w:w="80" w:type="dxa"/>
            </w:tcMar>
            <w:vAlign w:val="bottom"/>
          </w:tcPr>
          <w:p w:rsidR="00E9759E" w:rsidRPr="0054753A" w:rsidRDefault="00E9759E" w:rsidP="003A4764">
            <w:pPr>
              <w:keepNext/>
              <w:autoSpaceDE w:val="0"/>
              <w:autoSpaceDN w:val="0"/>
              <w:adjustRightInd w:val="0"/>
              <w:spacing w:before="80" w:after="80"/>
              <w:ind w:right="973"/>
              <w:jc w:val="right"/>
              <w:rPr>
                <w:rFonts w:ascii="Calibri" w:hAnsi="Calibri" w:cs="Calibri"/>
                <w:color w:val="000000"/>
                <w:sz w:val="20"/>
                <w:szCs w:val="20"/>
              </w:rPr>
            </w:pPr>
            <w:r w:rsidRPr="0054753A">
              <w:rPr>
                <w:rFonts w:ascii="Calibri" w:hAnsi="Calibri" w:cs="Calibri"/>
                <w:color w:val="000000"/>
                <w:sz w:val="20"/>
                <w:szCs w:val="20"/>
              </w:rPr>
              <w:t>2.33%</w:t>
            </w:r>
          </w:p>
        </w:tc>
      </w:tr>
      <w:tr w:rsidR="00E9759E" w:rsidRPr="0054753A" w:rsidTr="003A4764">
        <w:trPr>
          <w:cantSplit/>
        </w:trPr>
        <w:tc>
          <w:tcPr>
            <w:tcW w:w="1530" w:type="dxa"/>
            <w:vMerge/>
            <w:tcBorders>
              <w:top w:val="nil"/>
              <w:left w:val="nil"/>
              <w:bottom w:val="nil"/>
              <w:right w:val="nil"/>
            </w:tcBorders>
            <w:shd w:val="clear" w:color="auto" w:fill="FFFFFF"/>
            <w:tcMar>
              <w:left w:w="80" w:type="dxa"/>
              <w:right w:w="80" w:type="dxa"/>
            </w:tcMar>
          </w:tcPr>
          <w:p w:rsidR="00E9759E" w:rsidRPr="0054753A" w:rsidRDefault="00E9759E" w:rsidP="0054753A">
            <w:pPr>
              <w:autoSpaceDE w:val="0"/>
              <w:autoSpaceDN w:val="0"/>
              <w:adjustRightInd w:val="0"/>
              <w:rPr>
                <w:rFonts w:ascii="Times New Roman" w:hAnsi="Times New Roman"/>
              </w:rPr>
            </w:pPr>
          </w:p>
        </w:tc>
        <w:tc>
          <w:tcPr>
            <w:tcW w:w="2047" w:type="dxa"/>
            <w:tcBorders>
              <w:top w:val="nil"/>
              <w:left w:val="nil"/>
              <w:bottom w:val="nil"/>
              <w:right w:val="nil"/>
            </w:tcBorders>
            <w:shd w:val="clear" w:color="auto" w:fill="FFFFFF"/>
            <w:tcMar>
              <w:left w:w="80" w:type="dxa"/>
              <w:right w:w="80" w:type="dxa"/>
            </w:tcMar>
          </w:tcPr>
          <w:p w:rsidR="00E9759E" w:rsidRPr="0054753A" w:rsidRDefault="00E9759E" w:rsidP="0054753A">
            <w:pPr>
              <w:autoSpaceDE w:val="0"/>
              <w:autoSpaceDN w:val="0"/>
              <w:adjustRightInd w:val="0"/>
              <w:spacing w:before="80" w:after="80"/>
              <w:rPr>
                <w:rFonts w:ascii="Calibri" w:hAnsi="Calibri" w:cs="Calibri"/>
                <w:b/>
                <w:bCs/>
                <w:color w:val="000000"/>
                <w:sz w:val="22"/>
                <w:szCs w:val="22"/>
              </w:rPr>
            </w:pPr>
            <w:r w:rsidRPr="0054753A">
              <w:rPr>
                <w:rFonts w:ascii="Calibri" w:hAnsi="Calibri" w:cs="Calibri"/>
                <w:b/>
                <w:bCs/>
                <w:color w:val="000000"/>
                <w:sz w:val="22"/>
                <w:szCs w:val="22"/>
              </w:rPr>
              <w:t>Adjusted</w:t>
            </w:r>
          </w:p>
        </w:tc>
        <w:tc>
          <w:tcPr>
            <w:tcW w:w="2464" w:type="dxa"/>
            <w:tcBorders>
              <w:top w:val="nil"/>
              <w:left w:val="nil"/>
              <w:bottom w:val="nil"/>
              <w:right w:val="nil"/>
            </w:tcBorders>
            <w:shd w:val="clear" w:color="auto" w:fill="FFFFFF"/>
            <w:tcMar>
              <w:left w:w="80" w:type="dxa"/>
              <w:right w:w="80" w:type="dxa"/>
            </w:tcMar>
          </w:tcPr>
          <w:p w:rsidR="00E9759E" w:rsidRPr="0054753A" w:rsidRDefault="00E9759E" w:rsidP="0054753A">
            <w:pPr>
              <w:autoSpaceDE w:val="0"/>
              <w:autoSpaceDN w:val="0"/>
              <w:adjustRightInd w:val="0"/>
              <w:spacing w:before="80" w:after="80"/>
              <w:rPr>
                <w:rFonts w:ascii="Calibri" w:hAnsi="Calibri" w:cs="Calibri"/>
                <w:b/>
                <w:bCs/>
                <w:color w:val="000000"/>
                <w:sz w:val="22"/>
                <w:szCs w:val="22"/>
              </w:rPr>
            </w:pPr>
            <w:r w:rsidRPr="0054753A">
              <w:rPr>
                <w:rFonts w:ascii="Calibri" w:hAnsi="Calibri" w:cs="Calibri"/>
                <w:b/>
                <w:bCs/>
                <w:color w:val="000000"/>
                <w:sz w:val="22"/>
                <w:szCs w:val="22"/>
              </w:rPr>
              <w:t>0.275¢</w:t>
            </w:r>
          </w:p>
        </w:tc>
        <w:tc>
          <w:tcPr>
            <w:tcW w:w="2932" w:type="dxa"/>
            <w:tcBorders>
              <w:top w:val="nil"/>
              <w:left w:val="nil"/>
              <w:bottom w:val="nil"/>
              <w:right w:val="nil"/>
            </w:tcBorders>
            <w:shd w:val="clear" w:color="auto" w:fill="FFFFFF"/>
            <w:tcMar>
              <w:left w:w="80" w:type="dxa"/>
              <w:right w:w="80" w:type="dxa"/>
            </w:tcMar>
            <w:vAlign w:val="bottom"/>
          </w:tcPr>
          <w:p w:rsidR="00E9759E" w:rsidRPr="0054753A" w:rsidRDefault="00E9759E" w:rsidP="003A4764">
            <w:pPr>
              <w:autoSpaceDE w:val="0"/>
              <w:autoSpaceDN w:val="0"/>
              <w:adjustRightInd w:val="0"/>
              <w:spacing w:before="80" w:after="80"/>
              <w:ind w:right="973"/>
              <w:jc w:val="right"/>
              <w:rPr>
                <w:rFonts w:ascii="Calibri" w:hAnsi="Calibri" w:cs="Calibri"/>
                <w:color w:val="000000"/>
                <w:sz w:val="20"/>
                <w:szCs w:val="20"/>
              </w:rPr>
            </w:pPr>
            <w:r w:rsidRPr="0054753A">
              <w:rPr>
                <w:rFonts w:ascii="Calibri" w:hAnsi="Calibri" w:cs="Calibri"/>
                <w:color w:val="000000"/>
                <w:sz w:val="20"/>
                <w:szCs w:val="20"/>
              </w:rPr>
              <w:t>2.38%</w:t>
            </w:r>
          </w:p>
        </w:tc>
      </w:tr>
      <w:tr w:rsidR="00E9759E" w:rsidRPr="0054753A" w:rsidTr="003A4764">
        <w:trPr>
          <w:cantSplit/>
        </w:trPr>
        <w:tc>
          <w:tcPr>
            <w:tcW w:w="1530" w:type="dxa"/>
            <w:vMerge w:val="restart"/>
            <w:tcBorders>
              <w:top w:val="nil"/>
              <w:left w:val="nil"/>
              <w:bottom w:val="nil"/>
              <w:right w:val="nil"/>
            </w:tcBorders>
            <w:shd w:val="clear" w:color="auto" w:fill="FFFFFF"/>
            <w:tcMar>
              <w:left w:w="80" w:type="dxa"/>
              <w:right w:w="80" w:type="dxa"/>
            </w:tcMar>
          </w:tcPr>
          <w:p w:rsidR="00E9759E" w:rsidRPr="0054753A" w:rsidRDefault="00E9759E" w:rsidP="0054753A">
            <w:pPr>
              <w:keepNext/>
              <w:autoSpaceDE w:val="0"/>
              <w:autoSpaceDN w:val="0"/>
              <w:adjustRightInd w:val="0"/>
              <w:spacing w:before="80" w:after="80"/>
              <w:rPr>
                <w:rFonts w:ascii="Calibri" w:hAnsi="Calibri" w:cs="Calibri"/>
                <w:b/>
                <w:bCs/>
                <w:color w:val="000000"/>
                <w:sz w:val="22"/>
                <w:szCs w:val="22"/>
              </w:rPr>
            </w:pPr>
            <w:r w:rsidRPr="0054753A">
              <w:rPr>
                <w:rFonts w:ascii="Calibri" w:hAnsi="Calibri" w:cs="Calibri"/>
                <w:b/>
                <w:bCs/>
                <w:color w:val="000000"/>
                <w:sz w:val="22"/>
                <w:szCs w:val="22"/>
              </w:rPr>
              <w:t>30</w:t>
            </w:r>
            <w:r w:rsidR="00D20E36">
              <w:rPr>
                <w:rFonts w:ascii="Calibri" w:hAnsi="Calibri" w:cs="Calibri"/>
                <w:b/>
                <w:bCs/>
                <w:color w:val="000000"/>
                <w:sz w:val="22"/>
                <w:szCs w:val="22"/>
              </w:rPr>
              <w:t>s</w:t>
            </w:r>
          </w:p>
        </w:tc>
        <w:tc>
          <w:tcPr>
            <w:tcW w:w="2047" w:type="dxa"/>
            <w:tcBorders>
              <w:top w:val="nil"/>
              <w:left w:val="nil"/>
              <w:bottom w:val="nil"/>
              <w:right w:val="nil"/>
            </w:tcBorders>
            <w:shd w:val="clear" w:color="auto" w:fill="FFFFFF"/>
            <w:tcMar>
              <w:left w:w="80" w:type="dxa"/>
              <w:right w:w="80" w:type="dxa"/>
            </w:tcMar>
          </w:tcPr>
          <w:p w:rsidR="00E9759E" w:rsidRPr="0054753A" w:rsidRDefault="00E9759E" w:rsidP="0054753A">
            <w:pPr>
              <w:keepNext/>
              <w:autoSpaceDE w:val="0"/>
              <w:autoSpaceDN w:val="0"/>
              <w:adjustRightInd w:val="0"/>
              <w:spacing w:before="80" w:after="80"/>
              <w:rPr>
                <w:rFonts w:ascii="Calibri" w:hAnsi="Calibri" w:cs="Calibri"/>
                <w:b/>
                <w:bCs/>
                <w:color w:val="000000"/>
                <w:sz w:val="22"/>
                <w:szCs w:val="22"/>
              </w:rPr>
            </w:pPr>
            <w:r w:rsidRPr="0054753A">
              <w:rPr>
                <w:rFonts w:ascii="Calibri" w:hAnsi="Calibri" w:cs="Calibri"/>
                <w:b/>
                <w:bCs/>
                <w:color w:val="000000"/>
                <w:sz w:val="22"/>
                <w:szCs w:val="22"/>
              </w:rPr>
              <w:t>Quote midpoint</w:t>
            </w:r>
          </w:p>
        </w:tc>
        <w:tc>
          <w:tcPr>
            <w:tcW w:w="2464" w:type="dxa"/>
            <w:tcBorders>
              <w:top w:val="nil"/>
              <w:left w:val="nil"/>
              <w:bottom w:val="nil"/>
              <w:right w:val="nil"/>
            </w:tcBorders>
            <w:shd w:val="clear" w:color="auto" w:fill="FFFFFF"/>
            <w:tcMar>
              <w:left w:w="80" w:type="dxa"/>
              <w:right w:w="80" w:type="dxa"/>
            </w:tcMar>
          </w:tcPr>
          <w:p w:rsidR="00E9759E" w:rsidRPr="0054753A" w:rsidRDefault="00E9759E" w:rsidP="0054753A">
            <w:pPr>
              <w:keepNext/>
              <w:autoSpaceDE w:val="0"/>
              <w:autoSpaceDN w:val="0"/>
              <w:adjustRightInd w:val="0"/>
              <w:spacing w:before="80" w:after="80"/>
              <w:rPr>
                <w:rFonts w:ascii="Calibri" w:hAnsi="Calibri" w:cs="Calibri"/>
                <w:b/>
                <w:bCs/>
                <w:color w:val="000000"/>
                <w:sz w:val="22"/>
                <w:szCs w:val="22"/>
              </w:rPr>
            </w:pPr>
          </w:p>
        </w:tc>
        <w:tc>
          <w:tcPr>
            <w:tcW w:w="2932" w:type="dxa"/>
            <w:tcBorders>
              <w:top w:val="nil"/>
              <w:left w:val="nil"/>
              <w:bottom w:val="nil"/>
              <w:right w:val="nil"/>
            </w:tcBorders>
            <w:shd w:val="clear" w:color="auto" w:fill="FFFFFF"/>
            <w:tcMar>
              <w:left w:w="80" w:type="dxa"/>
              <w:right w:w="80" w:type="dxa"/>
            </w:tcMar>
            <w:vAlign w:val="bottom"/>
          </w:tcPr>
          <w:p w:rsidR="00E9759E" w:rsidRPr="0054753A" w:rsidRDefault="00E9759E" w:rsidP="003A4764">
            <w:pPr>
              <w:keepNext/>
              <w:autoSpaceDE w:val="0"/>
              <w:autoSpaceDN w:val="0"/>
              <w:adjustRightInd w:val="0"/>
              <w:spacing w:before="80" w:after="80"/>
              <w:ind w:right="973"/>
              <w:jc w:val="right"/>
              <w:rPr>
                <w:rFonts w:ascii="Calibri" w:hAnsi="Calibri" w:cs="Calibri"/>
                <w:color w:val="000000"/>
                <w:sz w:val="20"/>
                <w:szCs w:val="20"/>
              </w:rPr>
            </w:pPr>
            <w:r w:rsidRPr="0054753A">
              <w:rPr>
                <w:rFonts w:ascii="Calibri" w:hAnsi="Calibri" w:cs="Calibri"/>
                <w:color w:val="000000"/>
                <w:sz w:val="20"/>
                <w:szCs w:val="20"/>
              </w:rPr>
              <w:t>2.44%</w:t>
            </w:r>
          </w:p>
        </w:tc>
      </w:tr>
      <w:tr w:rsidR="00E9759E" w:rsidRPr="0054753A" w:rsidTr="003A4764">
        <w:trPr>
          <w:cantSplit/>
        </w:trPr>
        <w:tc>
          <w:tcPr>
            <w:tcW w:w="1530" w:type="dxa"/>
            <w:vMerge/>
            <w:tcBorders>
              <w:top w:val="nil"/>
              <w:left w:val="nil"/>
              <w:bottom w:val="nil"/>
              <w:right w:val="nil"/>
            </w:tcBorders>
            <w:shd w:val="clear" w:color="auto" w:fill="FFFFFF"/>
            <w:tcMar>
              <w:left w:w="80" w:type="dxa"/>
              <w:right w:w="80" w:type="dxa"/>
            </w:tcMar>
          </w:tcPr>
          <w:p w:rsidR="00E9759E" w:rsidRPr="0054753A" w:rsidRDefault="00E9759E" w:rsidP="0054753A">
            <w:pPr>
              <w:keepNext/>
              <w:autoSpaceDE w:val="0"/>
              <w:autoSpaceDN w:val="0"/>
              <w:adjustRightInd w:val="0"/>
              <w:rPr>
                <w:rFonts w:ascii="Times New Roman" w:hAnsi="Times New Roman"/>
              </w:rPr>
            </w:pPr>
          </w:p>
        </w:tc>
        <w:tc>
          <w:tcPr>
            <w:tcW w:w="2047" w:type="dxa"/>
            <w:tcBorders>
              <w:top w:val="nil"/>
              <w:left w:val="nil"/>
              <w:bottom w:val="nil"/>
              <w:right w:val="nil"/>
            </w:tcBorders>
            <w:shd w:val="clear" w:color="auto" w:fill="FFFFFF"/>
            <w:tcMar>
              <w:left w:w="80" w:type="dxa"/>
              <w:right w:w="80" w:type="dxa"/>
            </w:tcMar>
          </w:tcPr>
          <w:p w:rsidR="00E9759E" w:rsidRPr="0054753A" w:rsidRDefault="00E9759E" w:rsidP="0054753A">
            <w:pPr>
              <w:keepNext/>
              <w:autoSpaceDE w:val="0"/>
              <w:autoSpaceDN w:val="0"/>
              <w:adjustRightInd w:val="0"/>
              <w:spacing w:before="80" w:after="80"/>
              <w:rPr>
                <w:rFonts w:ascii="Calibri" w:hAnsi="Calibri" w:cs="Calibri"/>
                <w:b/>
                <w:bCs/>
                <w:color w:val="000000"/>
                <w:sz w:val="22"/>
                <w:szCs w:val="22"/>
              </w:rPr>
            </w:pPr>
            <w:r w:rsidRPr="0054753A">
              <w:rPr>
                <w:rFonts w:ascii="Calibri" w:hAnsi="Calibri" w:cs="Calibri"/>
                <w:b/>
                <w:bCs/>
                <w:color w:val="000000"/>
                <w:sz w:val="22"/>
                <w:szCs w:val="22"/>
              </w:rPr>
              <w:t>Unadjusted</w:t>
            </w:r>
          </w:p>
        </w:tc>
        <w:tc>
          <w:tcPr>
            <w:tcW w:w="2464" w:type="dxa"/>
            <w:tcBorders>
              <w:top w:val="nil"/>
              <w:left w:val="nil"/>
              <w:bottom w:val="nil"/>
              <w:right w:val="nil"/>
            </w:tcBorders>
            <w:shd w:val="clear" w:color="auto" w:fill="FFFFFF"/>
            <w:tcMar>
              <w:left w:w="80" w:type="dxa"/>
              <w:right w:w="80" w:type="dxa"/>
            </w:tcMar>
          </w:tcPr>
          <w:p w:rsidR="00E9759E" w:rsidRPr="0054753A" w:rsidRDefault="00E9759E" w:rsidP="0054753A">
            <w:pPr>
              <w:keepNext/>
              <w:autoSpaceDE w:val="0"/>
              <w:autoSpaceDN w:val="0"/>
              <w:adjustRightInd w:val="0"/>
              <w:spacing w:before="80" w:after="80"/>
              <w:rPr>
                <w:rFonts w:ascii="Calibri" w:hAnsi="Calibri" w:cs="Calibri"/>
                <w:b/>
                <w:bCs/>
                <w:color w:val="000000"/>
                <w:sz w:val="22"/>
                <w:szCs w:val="22"/>
              </w:rPr>
            </w:pPr>
            <w:r w:rsidRPr="0054753A">
              <w:rPr>
                <w:rFonts w:ascii="Calibri" w:hAnsi="Calibri" w:cs="Calibri"/>
                <w:b/>
                <w:bCs/>
                <w:color w:val="000000"/>
                <w:sz w:val="22"/>
                <w:szCs w:val="22"/>
              </w:rPr>
              <w:t>0</w:t>
            </w:r>
            <w:r>
              <w:rPr>
                <w:rFonts w:ascii="Calibri" w:hAnsi="Calibri" w:cs="Calibri"/>
                <w:b/>
                <w:bCs/>
                <w:color w:val="000000"/>
                <w:sz w:val="22"/>
                <w:szCs w:val="22"/>
              </w:rPr>
              <w:t>¢</w:t>
            </w:r>
          </w:p>
        </w:tc>
        <w:tc>
          <w:tcPr>
            <w:tcW w:w="2932" w:type="dxa"/>
            <w:tcBorders>
              <w:top w:val="nil"/>
              <w:left w:val="nil"/>
              <w:bottom w:val="nil"/>
              <w:right w:val="nil"/>
            </w:tcBorders>
            <w:shd w:val="clear" w:color="auto" w:fill="FFFFFF"/>
            <w:tcMar>
              <w:left w:w="80" w:type="dxa"/>
              <w:right w:w="80" w:type="dxa"/>
            </w:tcMar>
            <w:vAlign w:val="bottom"/>
          </w:tcPr>
          <w:p w:rsidR="00E9759E" w:rsidRPr="0054753A" w:rsidRDefault="00E9759E" w:rsidP="003A4764">
            <w:pPr>
              <w:keepNext/>
              <w:autoSpaceDE w:val="0"/>
              <w:autoSpaceDN w:val="0"/>
              <w:adjustRightInd w:val="0"/>
              <w:spacing w:before="80" w:after="80"/>
              <w:ind w:right="973"/>
              <w:jc w:val="right"/>
              <w:rPr>
                <w:rFonts w:ascii="Calibri" w:hAnsi="Calibri" w:cs="Calibri"/>
                <w:color w:val="000000"/>
                <w:sz w:val="20"/>
                <w:szCs w:val="20"/>
              </w:rPr>
            </w:pPr>
            <w:r w:rsidRPr="0054753A">
              <w:rPr>
                <w:rFonts w:ascii="Calibri" w:hAnsi="Calibri" w:cs="Calibri"/>
                <w:color w:val="000000"/>
                <w:sz w:val="20"/>
                <w:szCs w:val="20"/>
              </w:rPr>
              <w:t>2.90%</w:t>
            </w:r>
          </w:p>
        </w:tc>
      </w:tr>
      <w:tr w:rsidR="00E9759E" w:rsidRPr="0054753A" w:rsidTr="003A4764">
        <w:trPr>
          <w:cantSplit/>
        </w:trPr>
        <w:tc>
          <w:tcPr>
            <w:tcW w:w="1530" w:type="dxa"/>
            <w:vMerge/>
            <w:tcBorders>
              <w:top w:val="nil"/>
              <w:left w:val="nil"/>
              <w:bottom w:val="nil"/>
              <w:right w:val="nil"/>
            </w:tcBorders>
            <w:shd w:val="clear" w:color="auto" w:fill="FFFFFF"/>
            <w:tcMar>
              <w:left w:w="80" w:type="dxa"/>
              <w:right w:w="80" w:type="dxa"/>
            </w:tcMar>
          </w:tcPr>
          <w:p w:rsidR="00E9759E" w:rsidRPr="0054753A" w:rsidRDefault="00E9759E" w:rsidP="0054753A">
            <w:pPr>
              <w:autoSpaceDE w:val="0"/>
              <w:autoSpaceDN w:val="0"/>
              <w:adjustRightInd w:val="0"/>
              <w:rPr>
                <w:rFonts w:ascii="Times New Roman" w:hAnsi="Times New Roman"/>
              </w:rPr>
            </w:pPr>
          </w:p>
        </w:tc>
        <w:tc>
          <w:tcPr>
            <w:tcW w:w="2047" w:type="dxa"/>
            <w:tcBorders>
              <w:top w:val="nil"/>
              <w:left w:val="nil"/>
              <w:bottom w:val="nil"/>
              <w:right w:val="nil"/>
            </w:tcBorders>
            <w:shd w:val="clear" w:color="auto" w:fill="FFFFFF"/>
            <w:tcMar>
              <w:left w:w="80" w:type="dxa"/>
              <w:right w:w="80" w:type="dxa"/>
            </w:tcMar>
          </w:tcPr>
          <w:p w:rsidR="00E9759E" w:rsidRPr="0054753A" w:rsidRDefault="00E9759E" w:rsidP="0054753A">
            <w:pPr>
              <w:autoSpaceDE w:val="0"/>
              <w:autoSpaceDN w:val="0"/>
              <w:adjustRightInd w:val="0"/>
              <w:spacing w:before="80" w:after="80"/>
              <w:rPr>
                <w:rFonts w:ascii="Calibri" w:hAnsi="Calibri" w:cs="Calibri"/>
                <w:b/>
                <w:bCs/>
                <w:color w:val="000000"/>
                <w:sz w:val="22"/>
                <w:szCs w:val="22"/>
              </w:rPr>
            </w:pPr>
            <w:r w:rsidRPr="0054753A">
              <w:rPr>
                <w:rFonts w:ascii="Calibri" w:hAnsi="Calibri" w:cs="Calibri"/>
                <w:b/>
                <w:bCs/>
                <w:color w:val="000000"/>
                <w:sz w:val="22"/>
                <w:szCs w:val="22"/>
              </w:rPr>
              <w:t>Adjusted</w:t>
            </w:r>
          </w:p>
        </w:tc>
        <w:tc>
          <w:tcPr>
            <w:tcW w:w="2464" w:type="dxa"/>
            <w:tcBorders>
              <w:top w:val="nil"/>
              <w:left w:val="nil"/>
              <w:bottom w:val="nil"/>
              <w:right w:val="nil"/>
            </w:tcBorders>
            <w:shd w:val="clear" w:color="auto" w:fill="FFFFFF"/>
            <w:tcMar>
              <w:left w:w="80" w:type="dxa"/>
              <w:right w:w="80" w:type="dxa"/>
            </w:tcMar>
          </w:tcPr>
          <w:p w:rsidR="00E9759E" w:rsidRPr="0054753A" w:rsidRDefault="00E9759E" w:rsidP="0054753A">
            <w:pPr>
              <w:autoSpaceDE w:val="0"/>
              <w:autoSpaceDN w:val="0"/>
              <w:adjustRightInd w:val="0"/>
              <w:spacing w:before="80" w:after="80"/>
              <w:rPr>
                <w:rFonts w:ascii="Calibri" w:hAnsi="Calibri" w:cs="Calibri"/>
                <w:b/>
                <w:bCs/>
                <w:color w:val="000000"/>
                <w:sz w:val="22"/>
                <w:szCs w:val="22"/>
              </w:rPr>
            </w:pPr>
            <w:r w:rsidRPr="0054753A">
              <w:rPr>
                <w:rFonts w:ascii="Calibri" w:hAnsi="Calibri" w:cs="Calibri"/>
                <w:b/>
                <w:bCs/>
                <w:color w:val="000000"/>
                <w:sz w:val="22"/>
                <w:szCs w:val="22"/>
              </w:rPr>
              <w:t>0.275</w:t>
            </w:r>
            <w:r>
              <w:rPr>
                <w:rFonts w:ascii="Calibri" w:hAnsi="Calibri" w:cs="Calibri"/>
                <w:b/>
                <w:bCs/>
                <w:color w:val="000000"/>
                <w:sz w:val="22"/>
                <w:szCs w:val="22"/>
              </w:rPr>
              <w:t>¢</w:t>
            </w:r>
          </w:p>
        </w:tc>
        <w:tc>
          <w:tcPr>
            <w:tcW w:w="2932" w:type="dxa"/>
            <w:tcBorders>
              <w:top w:val="nil"/>
              <w:left w:val="nil"/>
              <w:bottom w:val="nil"/>
              <w:right w:val="nil"/>
            </w:tcBorders>
            <w:shd w:val="clear" w:color="auto" w:fill="FFFFFF"/>
            <w:tcMar>
              <w:left w:w="80" w:type="dxa"/>
              <w:right w:w="80" w:type="dxa"/>
            </w:tcMar>
            <w:vAlign w:val="bottom"/>
          </w:tcPr>
          <w:p w:rsidR="00E9759E" w:rsidRPr="0054753A" w:rsidRDefault="00E9759E" w:rsidP="003A4764">
            <w:pPr>
              <w:autoSpaceDE w:val="0"/>
              <w:autoSpaceDN w:val="0"/>
              <w:adjustRightInd w:val="0"/>
              <w:spacing w:before="80" w:after="80"/>
              <w:ind w:right="973"/>
              <w:jc w:val="right"/>
              <w:rPr>
                <w:rFonts w:ascii="Calibri" w:hAnsi="Calibri" w:cs="Calibri"/>
                <w:color w:val="000000"/>
                <w:sz w:val="20"/>
                <w:szCs w:val="20"/>
              </w:rPr>
            </w:pPr>
            <w:r w:rsidRPr="0054753A">
              <w:rPr>
                <w:rFonts w:ascii="Calibri" w:hAnsi="Calibri" w:cs="Calibri"/>
                <w:color w:val="000000"/>
                <w:sz w:val="20"/>
                <w:szCs w:val="20"/>
              </w:rPr>
              <w:t>2.93%</w:t>
            </w:r>
          </w:p>
        </w:tc>
      </w:tr>
      <w:tr w:rsidR="00E9759E" w:rsidRPr="0054753A" w:rsidTr="003A4764">
        <w:trPr>
          <w:cantSplit/>
        </w:trPr>
        <w:tc>
          <w:tcPr>
            <w:tcW w:w="1530" w:type="dxa"/>
            <w:vMerge w:val="restart"/>
            <w:tcBorders>
              <w:top w:val="nil"/>
              <w:left w:val="nil"/>
              <w:bottom w:val="single" w:sz="6" w:space="0" w:color="000000"/>
              <w:right w:val="nil"/>
            </w:tcBorders>
            <w:shd w:val="clear" w:color="auto" w:fill="FFFFFF"/>
            <w:tcMar>
              <w:left w:w="80" w:type="dxa"/>
              <w:right w:w="80" w:type="dxa"/>
            </w:tcMar>
          </w:tcPr>
          <w:p w:rsidR="00E9759E" w:rsidRPr="0054753A" w:rsidRDefault="00D20E36" w:rsidP="00D20E36">
            <w:pPr>
              <w:keepNext/>
              <w:autoSpaceDE w:val="0"/>
              <w:autoSpaceDN w:val="0"/>
              <w:adjustRightInd w:val="0"/>
              <w:spacing w:before="80" w:after="80"/>
              <w:rPr>
                <w:rFonts w:ascii="Calibri" w:hAnsi="Calibri" w:cs="Calibri"/>
                <w:b/>
                <w:bCs/>
                <w:color w:val="000000"/>
                <w:sz w:val="22"/>
                <w:szCs w:val="22"/>
              </w:rPr>
            </w:pPr>
            <w:r>
              <w:rPr>
                <w:rFonts w:ascii="Calibri" w:hAnsi="Calibri" w:cs="Calibri"/>
                <w:b/>
                <w:bCs/>
                <w:color w:val="000000"/>
                <w:sz w:val="22"/>
                <w:szCs w:val="22"/>
              </w:rPr>
              <w:t>60s</w:t>
            </w:r>
          </w:p>
        </w:tc>
        <w:tc>
          <w:tcPr>
            <w:tcW w:w="2047" w:type="dxa"/>
            <w:tcBorders>
              <w:top w:val="nil"/>
              <w:left w:val="nil"/>
              <w:bottom w:val="nil"/>
              <w:right w:val="nil"/>
            </w:tcBorders>
            <w:shd w:val="clear" w:color="auto" w:fill="FFFFFF"/>
            <w:tcMar>
              <w:left w:w="80" w:type="dxa"/>
              <w:right w:w="80" w:type="dxa"/>
            </w:tcMar>
          </w:tcPr>
          <w:p w:rsidR="00E9759E" w:rsidRPr="0054753A" w:rsidRDefault="00E9759E" w:rsidP="0054753A">
            <w:pPr>
              <w:keepNext/>
              <w:autoSpaceDE w:val="0"/>
              <w:autoSpaceDN w:val="0"/>
              <w:adjustRightInd w:val="0"/>
              <w:spacing w:before="80" w:after="80"/>
              <w:rPr>
                <w:rFonts w:ascii="Calibri" w:hAnsi="Calibri" w:cs="Calibri"/>
                <w:b/>
                <w:bCs/>
                <w:color w:val="000000"/>
                <w:sz w:val="22"/>
                <w:szCs w:val="22"/>
              </w:rPr>
            </w:pPr>
            <w:r w:rsidRPr="0054753A">
              <w:rPr>
                <w:rFonts w:ascii="Calibri" w:hAnsi="Calibri" w:cs="Calibri"/>
                <w:b/>
                <w:bCs/>
                <w:color w:val="000000"/>
                <w:sz w:val="22"/>
                <w:szCs w:val="22"/>
              </w:rPr>
              <w:t>Quote midpoint</w:t>
            </w:r>
          </w:p>
        </w:tc>
        <w:tc>
          <w:tcPr>
            <w:tcW w:w="2464" w:type="dxa"/>
            <w:tcBorders>
              <w:top w:val="nil"/>
              <w:left w:val="nil"/>
              <w:bottom w:val="nil"/>
              <w:right w:val="nil"/>
            </w:tcBorders>
            <w:shd w:val="clear" w:color="auto" w:fill="FFFFFF"/>
            <w:tcMar>
              <w:left w:w="80" w:type="dxa"/>
              <w:right w:w="80" w:type="dxa"/>
            </w:tcMar>
          </w:tcPr>
          <w:p w:rsidR="00E9759E" w:rsidRPr="0054753A" w:rsidRDefault="00E9759E" w:rsidP="0054753A">
            <w:pPr>
              <w:keepNext/>
              <w:autoSpaceDE w:val="0"/>
              <w:autoSpaceDN w:val="0"/>
              <w:adjustRightInd w:val="0"/>
              <w:spacing w:before="80" w:after="80"/>
              <w:rPr>
                <w:rFonts w:ascii="Calibri" w:hAnsi="Calibri" w:cs="Calibri"/>
                <w:b/>
                <w:bCs/>
                <w:color w:val="000000"/>
                <w:sz w:val="22"/>
                <w:szCs w:val="22"/>
              </w:rPr>
            </w:pPr>
          </w:p>
        </w:tc>
        <w:tc>
          <w:tcPr>
            <w:tcW w:w="2932" w:type="dxa"/>
            <w:tcBorders>
              <w:top w:val="nil"/>
              <w:left w:val="nil"/>
              <w:bottom w:val="nil"/>
              <w:right w:val="nil"/>
            </w:tcBorders>
            <w:shd w:val="clear" w:color="auto" w:fill="FFFFFF"/>
            <w:tcMar>
              <w:left w:w="80" w:type="dxa"/>
              <w:right w:w="80" w:type="dxa"/>
            </w:tcMar>
            <w:vAlign w:val="bottom"/>
          </w:tcPr>
          <w:p w:rsidR="00E9759E" w:rsidRPr="0054753A" w:rsidRDefault="00E9759E" w:rsidP="003A4764">
            <w:pPr>
              <w:keepNext/>
              <w:autoSpaceDE w:val="0"/>
              <w:autoSpaceDN w:val="0"/>
              <w:adjustRightInd w:val="0"/>
              <w:spacing w:before="80" w:after="80"/>
              <w:ind w:right="973"/>
              <w:jc w:val="right"/>
              <w:rPr>
                <w:rFonts w:ascii="Calibri" w:hAnsi="Calibri" w:cs="Calibri"/>
                <w:color w:val="000000"/>
                <w:sz w:val="20"/>
                <w:szCs w:val="20"/>
              </w:rPr>
            </w:pPr>
            <w:r w:rsidRPr="0054753A">
              <w:rPr>
                <w:rFonts w:ascii="Calibri" w:hAnsi="Calibri" w:cs="Calibri"/>
                <w:color w:val="000000"/>
                <w:sz w:val="20"/>
                <w:szCs w:val="20"/>
              </w:rPr>
              <w:t>3.65%</w:t>
            </w:r>
          </w:p>
        </w:tc>
      </w:tr>
      <w:tr w:rsidR="00E9759E" w:rsidRPr="0054753A" w:rsidTr="003A4764">
        <w:trPr>
          <w:cantSplit/>
        </w:trPr>
        <w:tc>
          <w:tcPr>
            <w:tcW w:w="1530" w:type="dxa"/>
            <w:vMerge/>
            <w:tcBorders>
              <w:top w:val="nil"/>
              <w:left w:val="nil"/>
              <w:bottom w:val="single" w:sz="6" w:space="0" w:color="000000"/>
              <w:right w:val="nil"/>
            </w:tcBorders>
            <w:shd w:val="clear" w:color="auto" w:fill="FFFFFF"/>
            <w:tcMar>
              <w:left w:w="80" w:type="dxa"/>
              <w:right w:w="80" w:type="dxa"/>
            </w:tcMar>
          </w:tcPr>
          <w:p w:rsidR="00E9759E" w:rsidRPr="0054753A" w:rsidRDefault="00E9759E" w:rsidP="0054753A">
            <w:pPr>
              <w:keepNext/>
              <w:autoSpaceDE w:val="0"/>
              <w:autoSpaceDN w:val="0"/>
              <w:adjustRightInd w:val="0"/>
              <w:rPr>
                <w:rFonts w:ascii="Times New Roman" w:hAnsi="Times New Roman"/>
              </w:rPr>
            </w:pPr>
          </w:p>
        </w:tc>
        <w:tc>
          <w:tcPr>
            <w:tcW w:w="2047" w:type="dxa"/>
            <w:tcBorders>
              <w:top w:val="nil"/>
              <w:left w:val="nil"/>
              <w:bottom w:val="nil"/>
              <w:right w:val="nil"/>
            </w:tcBorders>
            <w:shd w:val="clear" w:color="auto" w:fill="FFFFFF"/>
            <w:tcMar>
              <w:left w:w="80" w:type="dxa"/>
              <w:right w:w="80" w:type="dxa"/>
            </w:tcMar>
          </w:tcPr>
          <w:p w:rsidR="00E9759E" w:rsidRPr="0054753A" w:rsidRDefault="00E9759E" w:rsidP="0054753A">
            <w:pPr>
              <w:keepNext/>
              <w:autoSpaceDE w:val="0"/>
              <w:autoSpaceDN w:val="0"/>
              <w:adjustRightInd w:val="0"/>
              <w:spacing w:before="80" w:after="80"/>
              <w:rPr>
                <w:rFonts w:ascii="Calibri" w:hAnsi="Calibri" w:cs="Calibri"/>
                <w:b/>
                <w:bCs/>
                <w:color w:val="000000"/>
                <w:sz w:val="22"/>
                <w:szCs w:val="22"/>
              </w:rPr>
            </w:pPr>
            <w:r w:rsidRPr="0054753A">
              <w:rPr>
                <w:rFonts w:ascii="Calibri" w:hAnsi="Calibri" w:cs="Calibri"/>
                <w:b/>
                <w:bCs/>
                <w:color w:val="000000"/>
                <w:sz w:val="22"/>
                <w:szCs w:val="22"/>
              </w:rPr>
              <w:t>Unadjusted</w:t>
            </w:r>
          </w:p>
        </w:tc>
        <w:tc>
          <w:tcPr>
            <w:tcW w:w="2464" w:type="dxa"/>
            <w:tcBorders>
              <w:top w:val="nil"/>
              <w:left w:val="nil"/>
              <w:bottom w:val="nil"/>
              <w:right w:val="nil"/>
            </w:tcBorders>
            <w:shd w:val="clear" w:color="auto" w:fill="FFFFFF"/>
            <w:tcMar>
              <w:left w:w="80" w:type="dxa"/>
              <w:right w:w="80" w:type="dxa"/>
            </w:tcMar>
          </w:tcPr>
          <w:p w:rsidR="00E9759E" w:rsidRPr="0054753A" w:rsidRDefault="00E9759E" w:rsidP="0054753A">
            <w:pPr>
              <w:keepNext/>
              <w:autoSpaceDE w:val="0"/>
              <w:autoSpaceDN w:val="0"/>
              <w:adjustRightInd w:val="0"/>
              <w:spacing w:before="80" w:after="80"/>
              <w:rPr>
                <w:rFonts w:ascii="Calibri" w:hAnsi="Calibri" w:cs="Calibri"/>
                <w:b/>
                <w:bCs/>
                <w:color w:val="000000"/>
                <w:sz w:val="22"/>
                <w:szCs w:val="22"/>
              </w:rPr>
            </w:pPr>
            <w:r w:rsidRPr="0054753A">
              <w:rPr>
                <w:rFonts w:ascii="Calibri" w:hAnsi="Calibri" w:cs="Calibri"/>
                <w:b/>
                <w:bCs/>
                <w:color w:val="000000"/>
                <w:sz w:val="22"/>
                <w:szCs w:val="22"/>
              </w:rPr>
              <w:t>0</w:t>
            </w:r>
            <w:r>
              <w:rPr>
                <w:rFonts w:ascii="Calibri" w:hAnsi="Calibri" w:cs="Calibri"/>
                <w:b/>
                <w:bCs/>
                <w:color w:val="000000"/>
                <w:sz w:val="22"/>
                <w:szCs w:val="22"/>
              </w:rPr>
              <w:t>¢</w:t>
            </w:r>
          </w:p>
        </w:tc>
        <w:tc>
          <w:tcPr>
            <w:tcW w:w="2932" w:type="dxa"/>
            <w:tcBorders>
              <w:top w:val="nil"/>
              <w:left w:val="nil"/>
              <w:bottom w:val="nil"/>
              <w:right w:val="nil"/>
            </w:tcBorders>
            <w:shd w:val="clear" w:color="auto" w:fill="FFFFFF"/>
            <w:tcMar>
              <w:left w:w="80" w:type="dxa"/>
              <w:right w:w="80" w:type="dxa"/>
            </w:tcMar>
            <w:vAlign w:val="bottom"/>
          </w:tcPr>
          <w:p w:rsidR="00E9759E" w:rsidRPr="0054753A" w:rsidRDefault="00E9759E" w:rsidP="003A4764">
            <w:pPr>
              <w:keepNext/>
              <w:autoSpaceDE w:val="0"/>
              <w:autoSpaceDN w:val="0"/>
              <w:adjustRightInd w:val="0"/>
              <w:spacing w:before="80" w:after="80"/>
              <w:ind w:right="973"/>
              <w:jc w:val="right"/>
              <w:rPr>
                <w:rFonts w:ascii="Calibri" w:hAnsi="Calibri" w:cs="Calibri"/>
                <w:color w:val="000000"/>
                <w:sz w:val="20"/>
                <w:szCs w:val="20"/>
              </w:rPr>
            </w:pPr>
            <w:r w:rsidRPr="0054753A">
              <w:rPr>
                <w:rFonts w:ascii="Calibri" w:hAnsi="Calibri" w:cs="Calibri"/>
                <w:color w:val="000000"/>
                <w:sz w:val="20"/>
                <w:szCs w:val="20"/>
              </w:rPr>
              <w:t>4.04%</w:t>
            </w:r>
          </w:p>
        </w:tc>
      </w:tr>
      <w:tr w:rsidR="00E9759E" w:rsidRPr="0054753A" w:rsidTr="003A4764">
        <w:trPr>
          <w:cantSplit/>
        </w:trPr>
        <w:tc>
          <w:tcPr>
            <w:tcW w:w="1530" w:type="dxa"/>
            <w:vMerge/>
            <w:tcBorders>
              <w:top w:val="nil"/>
              <w:left w:val="nil"/>
              <w:bottom w:val="single" w:sz="6" w:space="0" w:color="000000"/>
              <w:right w:val="nil"/>
            </w:tcBorders>
            <w:shd w:val="clear" w:color="auto" w:fill="FFFFFF"/>
            <w:tcMar>
              <w:left w:w="80" w:type="dxa"/>
              <w:right w:w="80" w:type="dxa"/>
            </w:tcMar>
          </w:tcPr>
          <w:p w:rsidR="00E9759E" w:rsidRPr="0054753A" w:rsidRDefault="00E9759E" w:rsidP="0054753A">
            <w:pPr>
              <w:autoSpaceDE w:val="0"/>
              <w:autoSpaceDN w:val="0"/>
              <w:adjustRightInd w:val="0"/>
              <w:rPr>
                <w:rFonts w:ascii="Times New Roman" w:hAnsi="Times New Roman"/>
              </w:rPr>
            </w:pPr>
          </w:p>
        </w:tc>
        <w:tc>
          <w:tcPr>
            <w:tcW w:w="2047" w:type="dxa"/>
            <w:tcBorders>
              <w:top w:val="nil"/>
              <w:left w:val="nil"/>
              <w:bottom w:val="single" w:sz="6" w:space="0" w:color="000000"/>
              <w:right w:val="nil"/>
            </w:tcBorders>
            <w:shd w:val="clear" w:color="auto" w:fill="FFFFFF"/>
            <w:tcMar>
              <w:left w:w="80" w:type="dxa"/>
              <w:right w:w="80" w:type="dxa"/>
            </w:tcMar>
          </w:tcPr>
          <w:p w:rsidR="00E9759E" w:rsidRPr="0054753A" w:rsidRDefault="00E9759E" w:rsidP="0054753A">
            <w:pPr>
              <w:autoSpaceDE w:val="0"/>
              <w:autoSpaceDN w:val="0"/>
              <w:adjustRightInd w:val="0"/>
              <w:spacing w:before="80" w:after="80"/>
              <w:rPr>
                <w:rFonts w:ascii="Calibri" w:hAnsi="Calibri" w:cs="Calibri"/>
                <w:b/>
                <w:bCs/>
                <w:color w:val="000000"/>
                <w:sz w:val="22"/>
                <w:szCs w:val="22"/>
              </w:rPr>
            </w:pPr>
            <w:r w:rsidRPr="0054753A">
              <w:rPr>
                <w:rFonts w:ascii="Calibri" w:hAnsi="Calibri" w:cs="Calibri"/>
                <w:b/>
                <w:bCs/>
                <w:color w:val="000000"/>
                <w:sz w:val="22"/>
                <w:szCs w:val="22"/>
              </w:rPr>
              <w:t>Adjusted</w:t>
            </w:r>
          </w:p>
        </w:tc>
        <w:tc>
          <w:tcPr>
            <w:tcW w:w="2464" w:type="dxa"/>
            <w:tcBorders>
              <w:top w:val="nil"/>
              <w:left w:val="nil"/>
              <w:bottom w:val="single" w:sz="6" w:space="0" w:color="000000"/>
              <w:right w:val="nil"/>
            </w:tcBorders>
            <w:shd w:val="clear" w:color="auto" w:fill="FFFFFF"/>
            <w:tcMar>
              <w:left w:w="80" w:type="dxa"/>
              <w:right w:w="80" w:type="dxa"/>
            </w:tcMar>
          </w:tcPr>
          <w:p w:rsidR="00E9759E" w:rsidRPr="0054753A" w:rsidRDefault="00E9759E" w:rsidP="0054753A">
            <w:pPr>
              <w:autoSpaceDE w:val="0"/>
              <w:autoSpaceDN w:val="0"/>
              <w:adjustRightInd w:val="0"/>
              <w:spacing w:before="80" w:after="80"/>
              <w:rPr>
                <w:rFonts w:ascii="Calibri" w:hAnsi="Calibri" w:cs="Calibri"/>
                <w:b/>
                <w:bCs/>
                <w:color w:val="000000"/>
                <w:sz w:val="22"/>
                <w:szCs w:val="22"/>
              </w:rPr>
            </w:pPr>
            <w:r w:rsidRPr="0054753A">
              <w:rPr>
                <w:rFonts w:ascii="Calibri" w:hAnsi="Calibri" w:cs="Calibri"/>
                <w:b/>
                <w:bCs/>
                <w:color w:val="000000"/>
                <w:sz w:val="22"/>
                <w:szCs w:val="22"/>
              </w:rPr>
              <w:t>0.275</w:t>
            </w:r>
            <w:r>
              <w:rPr>
                <w:rFonts w:ascii="Calibri" w:hAnsi="Calibri" w:cs="Calibri"/>
                <w:b/>
                <w:bCs/>
                <w:color w:val="000000"/>
                <w:sz w:val="22"/>
                <w:szCs w:val="22"/>
              </w:rPr>
              <w:t>¢</w:t>
            </w:r>
          </w:p>
        </w:tc>
        <w:tc>
          <w:tcPr>
            <w:tcW w:w="2932" w:type="dxa"/>
            <w:tcBorders>
              <w:top w:val="nil"/>
              <w:left w:val="nil"/>
              <w:bottom w:val="single" w:sz="6" w:space="0" w:color="000000"/>
              <w:right w:val="nil"/>
            </w:tcBorders>
            <w:shd w:val="clear" w:color="auto" w:fill="FFFFFF"/>
            <w:tcMar>
              <w:left w:w="80" w:type="dxa"/>
              <w:right w:w="80" w:type="dxa"/>
            </w:tcMar>
            <w:vAlign w:val="bottom"/>
          </w:tcPr>
          <w:p w:rsidR="00E9759E" w:rsidRPr="0054753A" w:rsidRDefault="00E9759E" w:rsidP="003A4764">
            <w:pPr>
              <w:autoSpaceDE w:val="0"/>
              <w:autoSpaceDN w:val="0"/>
              <w:adjustRightInd w:val="0"/>
              <w:spacing w:before="80" w:after="80"/>
              <w:ind w:right="973"/>
              <w:jc w:val="right"/>
              <w:rPr>
                <w:rFonts w:ascii="Calibri" w:hAnsi="Calibri" w:cs="Calibri"/>
                <w:color w:val="000000"/>
                <w:sz w:val="20"/>
                <w:szCs w:val="20"/>
              </w:rPr>
            </w:pPr>
            <w:r w:rsidRPr="0054753A">
              <w:rPr>
                <w:rFonts w:ascii="Calibri" w:hAnsi="Calibri" w:cs="Calibri"/>
                <w:color w:val="000000"/>
                <w:sz w:val="20"/>
                <w:szCs w:val="20"/>
              </w:rPr>
              <w:t>4.00%</w:t>
            </w:r>
          </w:p>
        </w:tc>
      </w:tr>
    </w:tbl>
    <w:p w:rsidR="003A4764" w:rsidRDefault="003A4764" w:rsidP="0054753A">
      <w:pPr>
        <w:autoSpaceDE w:val="0"/>
        <w:autoSpaceDN w:val="0"/>
        <w:rPr>
          <w:rFonts w:ascii="Times New Roman" w:hAnsi="Times New Roman"/>
          <w:sz w:val="20"/>
          <w:szCs w:val="20"/>
        </w:rPr>
      </w:pPr>
      <w:bookmarkStart w:id="18" w:name="IDX1"/>
      <w:bookmarkEnd w:id="18"/>
    </w:p>
    <w:p w:rsidR="003A4764" w:rsidRDefault="003A4764" w:rsidP="003A4764">
      <w:pPr>
        <w:rPr>
          <w:rFonts w:ascii="Calibri" w:hAnsi="Calibri" w:cs="Calibri"/>
          <w:b/>
          <w:bCs/>
          <w:color w:val="000000"/>
        </w:rPr>
      </w:pPr>
      <w:r>
        <w:br w:type="page"/>
      </w:r>
      <w:r w:rsidRPr="0098544C">
        <w:rPr>
          <w:rFonts w:ascii="Calibri" w:hAnsi="Calibri" w:cs="Calibri"/>
          <w:b/>
          <w:bCs/>
          <w:color w:val="000000"/>
        </w:rPr>
        <w:t xml:space="preserve">Table </w:t>
      </w:r>
      <w:r>
        <w:rPr>
          <w:rFonts w:ascii="Calibri" w:hAnsi="Calibri" w:cs="Calibri"/>
          <w:b/>
          <w:bCs/>
          <w:color w:val="000000"/>
        </w:rPr>
        <w:t>2, Panel B</w:t>
      </w:r>
      <w:r w:rsidRPr="0098544C">
        <w:rPr>
          <w:rFonts w:ascii="Calibri" w:hAnsi="Calibri" w:cs="Calibri"/>
          <w:b/>
          <w:bCs/>
          <w:color w:val="000000"/>
        </w:rPr>
        <w:t xml:space="preserve">:  </w:t>
      </w:r>
      <w:r>
        <w:rPr>
          <w:rFonts w:ascii="Calibri" w:hAnsi="Calibri" w:cs="Calibri"/>
          <w:b/>
          <w:bCs/>
          <w:color w:val="000000"/>
        </w:rPr>
        <w:t xml:space="preserve">Paired </w:t>
      </w:r>
      <w:r w:rsidR="00757E6D" w:rsidRPr="003A4764">
        <w:rPr>
          <w:rFonts w:ascii="Calibri" w:hAnsi="Calibri" w:cs="Calibri"/>
          <w:b/>
          <w:bCs/>
          <w:i/>
          <w:color w:val="000000"/>
        </w:rPr>
        <w:t>t</w:t>
      </w:r>
      <w:r w:rsidR="00757E6D">
        <w:rPr>
          <w:rFonts w:ascii="Calibri" w:hAnsi="Calibri" w:cs="Calibri"/>
          <w:b/>
          <w:bCs/>
          <w:color w:val="000000"/>
        </w:rPr>
        <w:t>-tests for Differences in Average Return Correlations among Stocks</w:t>
      </w:r>
    </w:p>
    <w:p w:rsidR="003A4764" w:rsidRDefault="003A4764" w:rsidP="003A4764">
      <w:pPr>
        <w:rPr>
          <w:rFonts w:ascii="Calibri" w:hAnsi="Calibri" w:cs="Calibri"/>
          <w:bCs/>
          <w:color w:val="000000"/>
        </w:rPr>
      </w:pPr>
    </w:p>
    <w:p w:rsidR="003A4764" w:rsidRPr="00757E6D" w:rsidRDefault="003A4764" w:rsidP="003A4764">
      <w:pPr>
        <w:rPr>
          <w:rFonts w:ascii="Calibri" w:hAnsi="Calibri" w:cs="Calibri"/>
          <w:bCs/>
          <w:color w:val="000000"/>
        </w:rPr>
      </w:pPr>
      <w:r>
        <w:rPr>
          <w:rFonts w:ascii="Calibri" w:hAnsi="Calibri" w:cs="Calibri"/>
          <w:bCs/>
          <w:color w:val="000000"/>
        </w:rPr>
        <w:t>This table presents mean differences for the average correlation coefficients reported in Panel B</w:t>
      </w:r>
      <w:r w:rsidR="00757E6D">
        <w:rPr>
          <w:rFonts w:ascii="Calibri" w:hAnsi="Calibri" w:cs="Calibri"/>
          <w:bCs/>
          <w:color w:val="000000"/>
        </w:rPr>
        <w:t xml:space="preserve"> between return values based on the three return estimates.  The </w:t>
      </w:r>
      <w:r w:rsidR="00757E6D">
        <w:rPr>
          <w:rFonts w:ascii="Calibri" w:hAnsi="Calibri" w:cs="Calibri"/>
          <w:bCs/>
          <w:i/>
          <w:color w:val="000000"/>
        </w:rPr>
        <w:t>t</w:t>
      </w:r>
      <w:r w:rsidR="00757E6D">
        <w:rPr>
          <w:rFonts w:ascii="Calibri" w:hAnsi="Calibri" w:cs="Calibri"/>
          <w:bCs/>
          <w:color w:val="000000"/>
        </w:rPr>
        <w:t xml:space="preserve">-value is for the paired </w:t>
      </w:r>
      <w:r w:rsidR="00757E6D" w:rsidRPr="00757E6D">
        <w:rPr>
          <w:rFonts w:ascii="Calibri" w:hAnsi="Calibri" w:cs="Calibri"/>
          <w:bCs/>
          <w:i/>
          <w:color w:val="000000"/>
        </w:rPr>
        <w:t>t</w:t>
      </w:r>
      <w:r w:rsidR="00757E6D" w:rsidRPr="00757E6D">
        <w:rPr>
          <w:rFonts w:ascii="Calibri" w:hAnsi="Calibri" w:cs="Calibri"/>
          <w:bCs/>
          <w:color w:val="000000"/>
        </w:rPr>
        <w:t xml:space="preserve">-tests </w:t>
      </w:r>
      <w:r w:rsidR="00757E6D">
        <w:rPr>
          <w:rFonts w:ascii="Calibri" w:hAnsi="Calibri" w:cs="Calibri"/>
          <w:bCs/>
          <w:color w:val="000000"/>
        </w:rPr>
        <w:t xml:space="preserve">of the significance of the test.  The </w:t>
      </w:r>
      <w:r w:rsidR="00757E6D" w:rsidRPr="007F22D4">
        <w:rPr>
          <w:i/>
        </w:rPr>
        <w:t>t</w:t>
      </w:r>
      <w:r w:rsidR="00757E6D">
        <w:t>-statistic does not have the standard Student-</w:t>
      </w:r>
      <w:r w:rsidR="00757E6D" w:rsidRPr="007F22D4">
        <w:rPr>
          <w:i/>
        </w:rPr>
        <w:t>t</w:t>
      </w:r>
      <w:r w:rsidR="00757E6D">
        <w:t xml:space="preserve"> distribution under the null of no difference because the </w:t>
      </w:r>
      <m:oMath>
        <m:r>
          <w:rPr>
            <w:rFonts w:ascii="Cambria Math" w:hAnsi="Cambria Math"/>
          </w:rPr>
          <m:t>n(n-1)/2</m:t>
        </m:r>
      </m:oMath>
      <w:r w:rsidR="00757E6D">
        <w:t xml:space="preserve"> different pairwise correlations are not independent.  A bootstrap analysis indicates that the reported </w:t>
      </w:r>
      <w:r w:rsidR="00757E6D" w:rsidRPr="00160026">
        <w:rPr>
          <w:i/>
        </w:rPr>
        <w:t>t</w:t>
      </w:r>
      <w:r w:rsidR="00757E6D">
        <w:t>-values are all statistically significant</w:t>
      </w:r>
      <w:r w:rsidR="00424BA7">
        <w:t xml:space="preserve"> at</w:t>
      </w:r>
      <w:r w:rsidR="00531036">
        <w:t xml:space="preserve"> the</w:t>
      </w:r>
      <w:r w:rsidR="00424BA7">
        <w:t xml:space="preserve"> 0.01 significance level. </w:t>
      </w:r>
    </w:p>
    <w:p w:rsidR="0054753A" w:rsidRDefault="0054753A" w:rsidP="007F6986"/>
    <w:tbl>
      <w:tblPr>
        <w:tblW w:w="0" w:type="auto"/>
        <w:tblInd w:w="80" w:type="dxa"/>
        <w:tblLayout w:type="fixed"/>
        <w:tblCellMar>
          <w:left w:w="0" w:type="dxa"/>
          <w:right w:w="0" w:type="dxa"/>
        </w:tblCellMar>
        <w:tblLook w:val="0000" w:firstRow="0" w:lastRow="0" w:firstColumn="0" w:lastColumn="0" w:noHBand="0" w:noVBand="0"/>
      </w:tblPr>
      <w:tblGrid>
        <w:gridCol w:w="1440"/>
        <w:gridCol w:w="3376"/>
        <w:gridCol w:w="1127"/>
        <w:gridCol w:w="868"/>
      </w:tblGrid>
      <w:tr w:rsidR="00CB376B" w:rsidTr="00CB376B">
        <w:trPr>
          <w:cantSplit/>
          <w:tblHeader/>
        </w:trPr>
        <w:tc>
          <w:tcPr>
            <w:tcW w:w="1440" w:type="dxa"/>
            <w:tcBorders>
              <w:top w:val="single" w:sz="6" w:space="0" w:color="000000"/>
              <w:left w:val="nil"/>
              <w:bottom w:val="single" w:sz="6" w:space="0" w:color="000000"/>
              <w:right w:val="nil"/>
            </w:tcBorders>
            <w:shd w:val="clear" w:color="auto" w:fill="FFFFFF"/>
            <w:tcMar>
              <w:left w:w="80" w:type="dxa"/>
              <w:right w:w="80" w:type="dxa"/>
            </w:tcMar>
            <w:vAlign w:val="bottom"/>
          </w:tcPr>
          <w:p w:rsidR="00CB376B" w:rsidRDefault="00CB376B" w:rsidP="00CB376B">
            <w:pPr>
              <w:keepNext/>
              <w:adjustRightInd w:val="0"/>
              <w:spacing w:before="80" w:after="80"/>
              <w:jc w:val="center"/>
              <w:rPr>
                <w:rFonts w:ascii="Calibri" w:hAnsi="Calibri" w:cs="Calibri"/>
                <w:b/>
                <w:bCs/>
                <w:color w:val="000000"/>
                <w:sz w:val="22"/>
                <w:szCs w:val="22"/>
              </w:rPr>
            </w:pPr>
            <w:r>
              <w:rPr>
                <w:rFonts w:ascii="Calibri" w:hAnsi="Calibri" w:cs="Calibri"/>
                <w:b/>
                <w:bCs/>
                <w:color w:val="000000"/>
                <w:sz w:val="22"/>
                <w:szCs w:val="22"/>
              </w:rPr>
              <w:t>Time interval</w:t>
            </w:r>
          </w:p>
        </w:tc>
        <w:tc>
          <w:tcPr>
            <w:tcW w:w="3376" w:type="dxa"/>
            <w:tcBorders>
              <w:top w:val="single" w:sz="6" w:space="0" w:color="000000"/>
              <w:left w:val="nil"/>
              <w:bottom w:val="single" w:sz="6" w:space="0" w:color="000000"/>
              <w:right w:val="nil"/>
            </w:tcBorders>
            <w:shd w:val="clear" w:color="auto" w:fill="FFFFFF"/>
            <w:vAlign w:val="bottom"/>
          </w:tcPr>
          <w:p w:rsidR="00CB376B" w:rsidRDefault="00CB376B" w:rsidP="00CB376B">
            <w:pPr>
              <w:keepNext/>
              <w:adjustRightInd w:val="0"/>
              <w:spacing w:before="80" w:after="80"/>
              <w:jc w:val="center"/>
              <w:rPr>
                <w:rFonts w:ascii="Calibri" w:hAnsi="Calibri" w:cs="Calibri"/>
                <w:b/>
                <w:bCs/>
                <w:color w:val="000000"/>
                <w:sz w:val="22"/>
                <w:szCs w:val="22"/>
              </w:rPr>
            </w:pPr>
            <w:r>
              <w:rPr>
                <w:rFonts w:ascii="Calibri" w:hAnsi="Calibri" w:cs="Calibri"/>
                <w:b/>
                <w:bCs/>
                <w:color w:val="000000"/>
                <w:sz w:val="22"/>
                <w:szCs w:val="22"/>
              </w:rPr>
              <w:t>Contrast</w:t>
            </w:r>
          </w:p>
        </w:tc>
        <w:tc>
          <w:tcPr>
            <w:tcW w:w="1127" w:type="dxa"/>
            <w:tcBorders>
              <w:top w:val="single" w:sz="6" w:space="0" w:color="000000"/>
              <w:left w:val="nil"/>
              <w:bottom w:val="single" w:sz="6" w:space="0" w:color="000000"/>
              <w:right w:val="nil"/>
            </w:tcBorders>
            <w:shd w:val="clear" w:color="auto" w:fill="FFFFFF"/>
            <w:tcMar>
              <w:left w:w="80" w:type="dxa"/>
              <w:right w:w="80" w:type="dxa"/>
            </w:tcMar>
            <w:vAlign w:val="bottom"/>
          </w:tcPr>
          <w:p w:rsidR="00CB376B" w:rsidRDefault="00CB376B" w:rsidP="00CB376B">
            <w:pPr>
              <w:keepNext/>
              <w:adjustRightInd w:val="0"/>
              <w:spacing w:before="80" w:after="80"/>
              <w:jc w:val="center"/>
              <w:rPr>
                <w:rFonts w:ascii="Calibri" w:hAnsi="Calibri" w:cs="Calibri"/>
                <w:b/>
                <w:bCs/>
                <w:color w:val="000000"/>
                <w:sz w:val="22"/>
                <w:szCs w:val="22"/>
              </w:rPr>
            </w:pPr>
            <w:r>
              <w:rPr>
                <w:rFonts w:ascii="Calibri" w:hAnsi="Calibri" w:cs="Calibri"/>
                <w:b/>
                <w:bCs/>
                <w:color w:val="000000"/>
                <w:sz w:val="22"/>
                <w:szCs w:val="22"/>
              </w:rPr>
              <w:t>Mean difference</w:t>
            </w:r>
          </w:p>
        </w:tc>
        <w:tc>
          <w:tcPr>
            <w:tcW w:w="868" w:type="dxa"/>
            <w:tcBorders>
              <w:top w:val="single" w:sz="6" w:space="0" w:color="000000"/>
              <w:left w:val="nil"/>
              <w:bottom w:val="single" w:sz="6" w:space="0" w:color="000000"/>
              <w:right w:val="nil"/>
            </w:tcBorders>
            <w:shd w:val="clear" w:color="auto" w:fill="FFFFFF"/>
            <w:tcMar>
              <w:left w:w="80" w:type="dxa"/>
              <w:right w:w="80" w:type="dxa"/>
            </w:tcMar>
            <w:vAlign w:val="bottom"/>
          </w:tcPr>
          <w:p w:rsidR="00CB376B" w:rsidRDefault="00CB376B" w:rsidP="00CB376B">
            <w:pPr>
              <w:keepNext/>
              <w:adjustRightInd w:val="0"/>
              <w:spacing w:before="80" w:after="80"/>
              <w:jc w:val="center"/>
              <w:rPr>
                <w:rFonts w:ascii="Calibri" w:hAnsi="Calibri" w:cs="Calibri"/>
                <w:b/>
                <w:bCs/>
                <w:color w:val="000000"/>
                <w:sz w:val="22"/>
                <w:szCs w:val="22"/>
              </w:rPr>
            </w:pPr>
            <w:r w:rsidRPr="00424BA7">
              <w:rPr>
                <w:rFonts w:ascii="Calibri" w:hAnsi="Calibri" w:cs="Calibri"/>
                <w:b/>
                <w:bCs/>
                <w:i/>
                <w:color w:val="000000"/>
                <w:sz w:val="22"/>
                <w:szCs w:val="22"/>
              </w:rPr>
              <w:t>t</w:t>
            </w:r>
            <w:r>
              <w:rPr>
                <w:rFonts w:ascii="Calibri" w:hAnsi="Calibri" w:cs="Calibri"/>
                <w:b/>
                <w:bCs/>
                <w:color w:val="000000"/>
                <w:sz w:val="22"/>
                <w:szCs w:val="22"/>
              </w:rPr>
              <w:t>-Value</w:t>
            </w:r>
          </w:p>
        </w:tc>
      </w:tr>
      <w:tr w:rsidR="00CB376B" w:rsidTr="00725735">
        <w:trPr>
          <w:cantSplit/>
        </w:trPr>
        <w:tc>
          <w:tcPr>
            <w:tcW w:w="1440" w:type="dxa"/>
            <w:vMerge w:val="restart"/>
            <w:tcBorders>
              <w:top w:val="nil"/>
              <w:left w:val="nil"/>
              <w:bottom w:val="nil"/>
              <w:right w:val="nil"/>
            </w:tcBorders>
            <w:shd w:val="clear" w:color="auto" w:fill="FFFFFF"/>
            <w:tcMar>
              <w:left w:w="80" w:type="dxa"/>
              <w:right w:w="80" w:type="dxa"/>
            </w:tcMar>
          </w:tcPr>
          <w:p w:rsidR="00CB376B" w:rsidRDefault="00CB376B" w:rsidP="00725735">
            <w:pPr>
              <w:keepNext/>
              <w:adjustRightInd w:val="0"/>
              <w:spacing w:before="80" w:after="80"/>
              <w:rPr>
                <w:rFonts w:ascii="Calibri" w:hAnsi="Calibri" w:cs="Calibri"/>
                <w:b/>
                <w:bCs/>
                <w:color w:val="000000"/>
                <w:sz w:val="22"/>
                <w:szCs w:val="22"/>
              </w:rPr>
            </w:pPr>
            <w:r>
              <w:rPr>
                <w:rFonts w:ascii="Calibri" w:hAnsi="Calibri" w:cs="Calibri"/>
                <w:b/>
                <w:bCs/>
                <w:color w:val="000000"/>
                <w:sz w:val="22"/>
                <w:szCs w:val="22"/>
              </w:rPr>
              <w:t>1</w:t>
            </w:r>
            <w:r w:rsidR="00D20E36">
              <w:rPr>
                <w:rFonts w:ascii="Calibri" w:hAnsi="Calibri" w:cs="Calibri"/>
                <w:b/>
                <w:bCs/>
                <w:color w:val="000000"/>
                <w:sz w:val="22"/>
                <w:szCs w:val="22"/>
              </w:rPr>
              <w:t>s</w:t>
            </w:r>
          </w:p>
        </w:tc>
        <w:tc>
          <w:tcPr>
            <w:tcW w:w="3376" w:type="dxa"/>
            <w:tcBorders>
              <w:top w:val="nil"/>
              <w:left w:val="nil"/>
              <w:bottom w:val="nil"/>
              <w:right w:val="nil"/>
            </w:tcBorders>
            <w:shd w:val="clear" w:color="auto" w:fill="FFFFFF"/>
            <w:tcMar>
              <w:left w:w="80" w:type="dxa"/>
              <w:right w:w="80" w:type="dxa"/>
            </w:tcMar>
          </w:tcPr>
          <w:p w:rsidR="00CB376B" w:rsidRDefault="00CB376B" w:rsidP="00725735">
            <w:pPr>
              <w:keepNext/>
              <w:adjustRightInd w:val="0"/>
              <w:spacing w:before="80" w:after="80"/>
              <w:rPr>
                <w:rFonts w:ascii="Calibri" w:hAnsi="Calibri" w:cs="Calibri"/>
                <w:b/>
                <w:bCs/>
                <w:color w:val="000000"/>
                <w:sz w:val="22"/>
                <w:szCs w:val="22"/>
              </w:rPr>
            </w:pPr>
            <w:r>
              <w:rPr>
                <w:rFonts w:ascii="Calibri" w:hAnsi="Calibri" w:cs="Calibri"/>
                <w:b/>
                <w:bCs/>
                <w:color w:val="000000"/>
                <w:sz w:val="22"/>
                <w:szCs w:val="22"/>
              </w:rPr>
              <w:t>Unadjusted minus Quote midpoint</w:t>
            </w:r>
          </w:p>
        </w:tc>
        <w:tc>
          <w:tcPr>
            <w:tcW w:w="1127" w:type="dxa"/>
            <w:tcBorders>
              <w:left w:val="nil"/>
              <w:bottom w:val="nil"/>
              <w:right w:val="nil"/>
            </w:tcBorders>
            <w:shd w:val="clear" w:color="auto" w:fill="FFFFFF"/>
            <w:tcMar>
              <w:left w:w="80" w:type="dxa"/>
              <w:right w:w="80" w:type="dxa"/>
            </w:tcMar>
            <w:vAlign w:val="bottom"/>
          </w:tcPr>
          <w:p w:rsidR="00CB376B" w:rsidRDefault="00CB376B" w:rsidP="00725735">
            <w:pPr>
              <w:keepNext/>
              <w:adjustRightInd w:val="0"/>
              <w:spacing w:before="80" w:after="80"/>
              <w:jc w:val="right"/>
              <w:rPr>
                <w:rFonts w:ascii="Calibri" w:hAnsi="Calibri" w:cs="Calibri"/>
                <w:color w:val="000000"/>
              </w:rPr>
            </w:pPr>
            <w:r>
              <w:rPr>
                <w:rFonts w:ascii="Calibri" w:hAnsi="Calibri" w:cs="Calibri"/>
                <w:color w:val="000000"/>
              </w:rPr>
              <w:t>0.18%</w:t>
            </w:r>
          </w:p>
        </w:tc>
        <w:tc>
          <w:tcPr>
            <w:tcW w:w="868" w:type="dxa"/>
            <w:tcBorders>
              <w:left w:val="nil"/>
              <w:bottom w:val="nil"/>
              <w:right w:val="nil"/>
            </w:tcBorders>
            <w:shd w:val="clear" w:color="auto" w:fill="FFFFFF"/>
            <w:tcMar>
              <w:left w:w="80" w:type="dxa"/>
              <w:right w:w="80" w:type="dxa"/>
            </w:tcMar>
            <w:vAlign w:val="bottom"/>
          </w:tcPr>
          <w:p w:rsidR="00CB376B" w:rsidRDefault="00CB376B" w:rsidP="00725735">
            <w:pPr>
              <w:keepNext/>
              <w:adjustRightInd w:val="0"/>
              <w:spacing w:before="80" w:after="80"/>
              <w:jc w:val="right"/>
              <w:rPr>
                <w:rFonts w:ascii="Calibri" w:hAnsi="Calibri" w:cs="Calibri"/>
                <w:color w:val="000000"/>
              </w:rPr>
            </w:pPr>
            <w:r>
              <w:rPr>
                <w:rFonts w:ascii="Calibri" w:hAnsi="Calibri" w:cs="Calibri"/>
                <w:color w:val="000000"/>
              </w:rPr>
              <w:t>31.3</w:t>
            </w:r>
          </w:p>
        </w:tc>
      </w:tr>
      <w:tr w:rsidR="00CB376B" w:rsidTr="00CB376B">
        <w:trPr>
          <w:cantSplit/>
        </w:trPr>
        <w:tc>
          <w:tcPr>
            <w:tcW w:w="1440" w:type="dxa"/>
            <w:vMerge/>
            <w:tcBorders>
              <w:top w:val="nil"/>
              <w:left w:val="nil"/>
              <w:bottom w:val="nil"/>
              <w:right w:val="nil"/>
            </w:tcBorders>
            <w:shd w:val="clear" w:color="auto" w:fill="FFFFFF"/>
            <w:tcMar>
              <w:left w:w="80" w:type="dxa"/>
              <w:right w:w="80" w:type="dxa"/>
            </w:tcMar>
          </w:tcPr>
          <w:p w:rsidR="00CB376B" w:rsidRDefault="00CB376B" w:rsidP="00725735">
            <w:pPr>
              <w:keepNext/>
              <w:adjustRightInd w:val="0"/>
            </w:pPr>
          </w:p>
        </w:tc>
        <w:tc>
          <w:tcPr>
            <w:tcW w:w="3376" w:type="dxa"/>
            <w:tcBorders>
              <w:top w:val="nil"/>
              <w:left w:val="nil"/>
              <w:bottom w:val="nil"/>
              <w:right w:val="nil"/>
            </w:tcBorders>
            <w:shd w:val="clear" w:color="auto" w:fill="FFFFFF"/>
            <w:tcMar>
              <w:left w:w="80" w:type="dxa"/>
              <w:right w:w="80" w:type="dxa"/>
            </w:tcMar>
          </w:tcPr>
          <w:p w:rsidR="00CB376B" w:rsidRDefault="00CB376B" w:rsidP="00725735">
            <w:pPr>
              <w:keepNext/>
              <w:adjustRightInd w:val="0"/>
              <w:spacing w:before="80" w:after="80"/>
              <w:rPr>
                <w:rFonts w:ascii="Calibri" w:hAnsi="Calibri" w:cs="Calibri"/>
                <w:b/>
                <w:bCs/>
                <w:color w:val="000000"/>
                <w:sz w:val="22"/>
                <w:szCs w:val="22"/>
              </w:rPr>
            </w:pPr>
            <w:r>
              <w:rPr>
                <w:rFonts w:ascii="Calibri" w:hAnsi="Calibri" w:cs="Calibri"/>
                <w:b/>
                <w:bCs/>
                <w:color w:val="000000"/>
                <w:sz w:val="22"/>
                <w:szCs w:val="22"/>
              </w:rPr>
              <w:t>Adjusted minus Unadjusted</w:t>
            </w:r>
          </w:p>
        </w:tc>
        <w:tc>
          <w:tcPr>
            <w:tcW w:w="1127" w:type="dxa"/>
            <w:tcBorders>
              <w:top w:val="nil"/>
              <w:left w:val="nil"/>
              <w:bottom w:val="nil"/>
              <w:right w:val="nil"/>
            </w:tcBorders>
            <w:shd w:val="clear" w:color="auto" w:fill="FFFFFF"/>
            <w:tcMar>
              <w:left w:w="80" w:type="dxa"/>
              <w:right w:w="80" w:type="dxa"/>
            </w:tcMar>
            <w:vAlign w:val="bottom"/>
          </w:tcPr>
          <w:p w:rsidR="00CB376B" w:rsidRDefault="00CB376B" w:rsidP="00725735">
            <w:pPr>
              <w:keepNext/>
              <w:adjustRightInd w:val="0"/>
              <w:spacing w:before="80" w:after="80"/>
              <w:jc w:val="right"/>
              <w:rPr>
                <w:rFonts w:ascii="Calibri" w:hAnsi="Calibri" w:cs="Calibri"/>
                <w:color w:val="000000"/>
              </w:rPr>
            </w:pPr>
            <w:r>
              <w:rPr>
                <w:rFonts w:ascii="Calibri" w:hAnsi="Calibri" w:cs="Calibri"/>
                <w:color w:val="000000"/>
              </w:rPr>
              <w:t>0.07%</w:t>
            </w:r>
          </w:p>
        </w:tc>
        <w:tc>
          <w:tcPr>
            <w:tcW w:w="868" w:type="dxa"/>
            <w:tcBorders>
              <w:top w:val="nil"/>
              <w:left w:val="nil"/>
              <w:bottom w:val="nil"/>
              <w:right w:val="nil"/>
            </w:tcBorders>
            <w:shd w:val="clear" w:color="auto" w:fill="FFFFFF"/>
            <w:tcMar>
              <w:left w:w="80" w:type="dxa"/>
              <w:right w:w="80" w:type="dxa"/>
            </w:tcMar>
            <w:vAlign w:val="bottom"/>
          </w:tcPr>
          <w:p w:rsidR="00CB376B" w:rsidRDefault="00CB376B" w:rsidP="00725735">
            <w:pPr>
              <w:keepNext/>
              <w:adjustRightInd w:val="0"/>
              <w:spacing w:before="80" w:after="80"/>
              <w:jc w:val="right"/>
              <w:rPr>
                <w:rFonts w:ascii="Calibri" w:hAnsi="Calibri" w:cs="Calibri"/>
                <w:color w:val="000000"/>
              </w:rPr>
            </w:pPr>
            <w:r>
              <w:rPr>
                <w:rFonts w:ascii="Calibri" w:hAnsi="Calibri" w:cs="Calibri"/>
                <w:color w:val="000000"/>
              </w:rPr>
              <w:t>27.4</w:t>
            </w:r>
          </w:p>
        </w:tc>
      </w:tr>
      <w:tr w:rsidR="00CB376B" w:rsidTr="00CB376B">
        <w:trPr>
          <w:cantSplit/>
        </w:trPr>
        <w:tc>
          <w:tcPr>
            <w:tcW w:w="1440" w:type="dxa"/>
            <w:vMerge/>
            <w:tcBorders>
              <w:top w:val="nil"/>
              <w:left w:val="nil"/>
              <w:bottom w:val="nil"/>
              <w:right w:val="nil"/>
            </w:tcBorders>
            <w:shd w:val="clear" w:color="auto" w:fill="FFFFFF"/>
            <w:tcMar>
              <w:left w:w="80" w:type="dxa"/>
              <w:right w:w="80" w:type="dxa"/>
            </w:tcMar>
          </w:tcPr>
          <w:p w:rsidR="00CB376B" w:rsidRDefault="00CB376B" w:rsidP="00725735">
            <w:pPr>
              <w:adjustRightInd w:val="0"/>
            </w:pPr>
          </w:p>
        </w:tc>
        <w:tc>
          <w:tcPr>
            <w:tcW w:w="3376" w:type="dxa"/>
            <w:tcBorders>
              <w:top w:val="nil"/>
              <w:left w:val="nil"/>
              <w:bottom w:val="nil"/>
              <w:right w:val="nil"/>
            </w:tcBorders>
            <w:shd w:val="clear" w:color="auto" w:fill="FFFFFF"/>
            <w:tcMar>
              <w:left w:w="80" w:type="dxa"/>
              <w:right w:w="80" w:type="dxa"/>
            </w:tcMar>
          </w:tcPr>
          <w:p w:rsidR="00CB376B" w:rsidRDefault="00CB376B" w:rsidP="00725735">
            <w:pPr>
              <w:adjustRightInd w:val="0"/>
              <w:spacing w:before="80" w:after="80"/>
              <w:rPr>
                <w:rFonts w:ascii="Calibri" w:hAnsi="Calibri" w:cs="Calibri"/>
                <w:b/>
                <w:bCs/>
                <w:color w:val="000000"/>
                <w:sz w:val="22"/>
                <w:szCs w:val="22"/>
              </w:rPr>
            </w:pPr>
            <w:r>
              <w:rPr>
                <w:rFonts w:ascii="Calibri" w:hAnsi="Calibri" w:cs="Calibri"/>
                <w:b/>
                <w:bCs/>
                <w:color w:val="000000"/>
                <w:sz w:val="22"/>
                <w:szCs w:val="22"/>
              </w:rPr>
              <w:t>Adjusted minus Quote midpoint</w:t>
            </w:r>
          </w:p>
        </w:tc>
        <w:tc>
          <w:tcPr>
            <w:tcW w:w="1127" w:type="dxa"/>
            <w:tcBorders>
              <w:top w:val="nil"/>
              <w:left w:val="nil"/>
              <w:bottom w:val="nil"/>
              <w:right w:val="nil"/>
            </w:tcBorders>
            <w:shd w:val="clear" w:color="auto" w:fill="FFFFFF"/>
            <w:tcMar>
              <w:left w:w="80" w:type="dxa"/>
              <w:right w:w="80" w:type="dxa"/>
            </w:tcMar>
            <w:vAlign w:val="bottom"/>
          </w:tcPr>
          <w:p w:rsidR="00CB376B" w:rsidRDefault="00CB376B" w:rsidP="00725735">
            <w:pPr>
              <w:adjustRightInd w:val="0"/>
              <w:spacing w:before="80" w:after="80"/>
              <w:jc w:val="right"/>
              <w:rPr>
                <w:rFonts w:ascii="Calibri" w:hAnsi="Calibri" w:cs="Calibri"/>
                <w:color w:val="000000"/>
              </w:rPr>
            </w:pPr>
            <w:r>
              <w:rPr>
                <w:rFonts w:ascii="Calibri" w:hAnsi="Calibri" w:cs="Calibri"/>
                <w:color w:val="000000"/>
              </w:rPr>
              <w:t>0.26%</w:t>
            </w:r>
          </w:p>
        </w:tc>
        <w:tc>
          <w:tcPr>
            <w:tcW w:w="868" w:type="dxa"/>
            <w:tcBorders>
              <w:top w:val="nil"/>
              <w:left w:val="nil"/>
              <w:bottom w:val="nil"/>
              <w:right w:val="nil"/>
            </w:tcBorders>
            <w:shd w:val="clear" w:color="auto" w:fill="FFFFFF"/>
            <w:tcMar>
              <w:left w:w="80" w:type="dxa"/>
              <w:right w:w="80" w:type="dxa"/>
            </w:tcMar>
            <w:vAlign w:val="bottom"/>
          </w:tcPr>
          <w:p w:rsidR="00CB376B" w:rsidRDefault="00CB376B" w:rsidP="00725735">
            <w:pPr>
              <w:adjustRightInd w:val="0"/>
              <w:spacing w:before="80" w:after="80"/>
              <w:jc w:val="right"/>
              <w:rPr>
                <w:rFonts w:ascii="Calibri" w:hAnsi="Calibri" w:cs="Calibri"/>
                <w:color w:val="000000"/>
              </w:rPr>
            </w:pPr>
            <w:r>
              <w:rPr>
                <w:rFonts w:ascii="Calibri" w:hAnsi="Calibri" w:cs="Calibri"/>
                <w:color w:val="000000"/>
              </w:rPr>
              <w:t>32.0</w:t>
            </w:r>
          </w:p>
        </w:tc>
      </w:tr>
      <w:tr w:rsidR="00CB376B" w:rsidTr="00CB376B">
        <w:trPr>
          <w:cantSplit/>
        </w:trPr>
        <w:tc>
          <w:tcPr>
            <w:tcW w:w="1440" w:type="dxa"/>
            <w:vMerge w:val="restart"/>
            <w:tcBorders>
              <w:top w:val="nil"/>
              <w:left w:val="nil"/>
              <w:bottom w:val="nil"/>
              <w:right w:val="nil"/>
            </w:tcBorders>
            <w:shd w:val="clear" w:color="auto" w:fill="FFFFFF"/>
            <w:tcMar>
              <w:left w:w="80" w:type="dxa"/>
              <w:right w:w="80" w:type="dxa"/>
            </w:tcMar>
          </w:tcPr>
          <w:p w:rsidR="00CB376B" w:rsidRDefault="00CB376B" w:rsidP="00725735">
            <w:pPr>
              <w:keepNext/>
              <w:adjustRightInd w:val="0"/>
              <w:spacing w:before="80" w:after="80"/>
              <w:rPr>
                <w:rFonts w:ascii="Calibri" w:hAnsi="Calibri" w:cs="Calibri"/>
                <w:b/>
                <w:bCs/>
                <w:color w:val="000000"/>
                <w:sz w:val="22"/>
                <w:szCs w:val="22"/>
              </w:rPr>
            </w:pPr>
            <w:r>
              <w:rPr>
                <w:rFonts w:ascii="Calibri" w:hAnsi="Calibri" w:cs="Calibri"/>
                <w:b/>
                <w:bCs/>
                <w:color w:val="000000"/>
                <w:sz w:val="22"/>
                <w:szCs w:val="22"/>
              </w:rPr>
              <w:t>5</w:t>
            </w:r>
            <w:r w:rsidR="00D20E36">
              <w:rPr>
                <w:rFonts w:ascii="Calibri" w:hAnsi="Calibri" w:cs="Calibri"/>
                <w:b/>
                <w:bCs/>
                <w:color w:val="000000"/>
                <w:sz w:val="22"/>
                <w:szCs w:val="22"/>
              </w:rPr>
              <w:t>s</w:t>
            </w:r>
          </w:p>
        </w:tc>
        <w:tc>
          <w:tcPr>
            <w:tcW w:w="3376" w:type="dxa"/>
            <w:tcBorders>
              <w:top w:val="nil"/>
              <w:left w:val="nil"/>
              <w:bottom w:val="nil"/>
              <w:right w:val="nil"/>
            </w:tcBorders>
            <w:shd w:val="clear" w:color="auto" w:fill="FFFFFF"/>
            <w:tcMar>
              <w:left w:w="80" w:type="dxa"/>
              <w:right w:w="80" w:type="dxa"/>
            </w:tcMar>
          </w:tcPr>
          <w:p w:rsidR="00CB376B" w:rsidRDefault="00CB376B" w:rsidP="00725735">
            <w:pPr>
              <w:keepNext/>
              <w:adjustRightInd w:val="0"/>
              <w:spacing w:before="80" w:after="80"/>
              <w:rPr>
                <w:rFonts w:ascii="Calibri" w:hAnsi="Calibri" w:cs="Calibri"/>
                <w:b/>
                <w:bCs/>
                <w:color w:val="000000"/>
                <w:sz w:val="22"/>
                <w:szCs w:val="22"/>
              </w:rPr>
            </w:pPr>
            <w:r>
              <w:rPr>
                <w:rFonts w:ascii="Calibri" w:hAnsi="Calibri" w:cs="Calibri"/>
                <w:b/>
                <w:bCs/>
                <w:color w:val="000000"/>
                <w:sz w:val="22"/>
                <w:szCs w:val="22"/>
              </w:rPr>
              <w:t>Unadjusted minus Quote midpoint</w:t>
            </w:r>
          </w:p>
        </w:tc>
        <w:tc>
          <w:tcPr>
            <w:tcW w:w="1127" w:type="dxa"/>
            <w:tcBorders>
              <w:top w:val="nil"/>
              <w:left w:val="nil"/>
              <w:bottom w:val="nil"/>
              <w:right w:val="nil"/>
            </w:tcBorders>
            <w:shd w:val="clear" w:color="auto" w:fill="FFFFFF"/>
            <w:tcMar>
              <w:left w:w="80" w:type="dxa"/>
              <w:right w:w="80" w:type="dxa"/>
            </w:tcMar>
            <w:vAlign w:val="bottom"/>
          </w:tcPr>
          <w:p w:rsidR="00CB376B" w:rsidRDefault="00CB376B" w:rsidP="00725735">
            <w:pPr>
              <w:keepNext/>
              <w:adjustRightInd w:val="0"/>
              <w:spacing w:before="80" w:after="80"/>
              <w:jc w:val="right"/>
              <w:rPr>
                <w:rFonts w:ascii="Calibri" w:hAnsi="Calibri" w:cs="Calibri"/>
                <w:color w:val="000000"/>
              </w:rPr>
            </w:pPr>
            <w:r>
              <w:rPr>
                <w:rFonts w:ascii="Calibri" w:hAnsi="Calibri" w:cs="Calibri"/>
                <w:color w:val="000000"/>
              </w:rPr>
              <w:t>0.31%</w:t>
            </w:r>
          </w:p>
        </w:tc>
        <w:tc>
          <w:tcPr>
            <w:tcW w:w="868" w:type="dxa"/>
            <w:tcBorders>
              <w:top w:val="nil"/>
              <w:left w:val="nil"/>
              <w:bottom w:val="nil"/>
              <w:right w:val="nil"/>
            </w:tcBorders>
            <w:shd w:val="clear" w:color="auto" w:fill="FFFFFF"/>
            <w:tcMar>
              <w:left w:w="80" w:type="dxa"/>
              <w:right w:w="80" w:type="dxa"/>
            </w:tcMar>
            <w:vAlign w:val="bottom"/>
          </w:tcPr>
          <w:p w:rsidR="00CB376B" w:rsidRDefault="00CB376B" w:rsidP="00725735">
            <w:pPr>
              <w:keepNext/>
              <w:adjustRightInd w:val="0"/>
              <w:spacing w:before="80" w:after="80"/>
              <w:jc w:val="right"/>
              <w:rPr>
                <w:rFonts w:ascii="Calibri" w:hAnsi="Calibri" w:cs="Calibri"/>
                <w:color w:val="000000"/>
              </w:rPr>
            </w:pPr>
            <w:r>
              <w:rPr>
                <w:rFonts w:ascii="Calibri" w:hAnsi="Calibri" w:cs="Calibri"/>
                <w:color w:val="000000"/>
              </w:rPr>
              <w:t>28.7</w:t>
            </w:r>
          </w:p>
        </w:tc>
      </w:tr>
      <w:tr w:rsidR="00CB376B" w:rsidTr="00CB376B">
        <w:trPr>
          <w:cantSplit/>
        </w:trPr>
        <w:tc>
          <w:tcPr>
            <w:tcW w:w="1440" w:type="dxa"/>
            <w:vMerge/>
            <w:tcBorders>
              <w:top w:val="nil"/>
              <w:left w:val="nil"/>
              <w:bottom w:val="nil"/>
              <w:right w:val="nil"/>
            </w:tcBorders>
            <w:shd w:val="clear" w:color="auto" w:fill="FFFFFF"/>
            <w:tcMar>
              <w:left w:w="80" w:type="dxa"/>
              <w:right w:w="80" w:type="dxa"/>
            </w:tcMar>
          </w:tcPr>
          <w:p w:rsidR="00CB376B" w:rsidRDefault="00CB376B" w:rsidP="00725735">
            <w:pPr>
              <w:keepNext/>
              <w:adjustRightInd w:val="0"/>
            </w:pPr>
          </w:p>
        </w:tc>
        <w:tc>
          <w:tcPr>
            <w:tcW w:w="3376" w:type="dxa"/>
            <w:tcBorders>
              <w:top w:val="nil"/>
              <w:left w:val="nil"/>
              <w:bottom w:val="nil"/>
              <w:right w:val="nil"/>
            </w:tcBorders>
            <w:shd w:val="clear" w:color="auto" w:fill="FFFFFF"/>
            <w:tcMar>
              <w:left w:w="80" w:type="dxa"/>
              <w:right w:w="80" w:type="dxa"/>
            </w:tcMar>
          </w:tcPr>
          <w:p w:rsidR="00CB376B" w:rsidRDefault="00CB376B" w:rsidP="00725735">
            <w:pPr>
              <w:keepNext/>
              <w:adjustRightInd w:val="0"/>
              <w:spacing w:before="80" w:after="80"/>
              <w:rPr>
                <w:rFonts w:ascii="Calibri" w:hAnsi="Calibri" w:cs="Calibri"/>
                <w:b/>
                <w:bCs/>
                <w:color w:val="000000"/>
                <w:sz w:val="22"/>
                <w:szCs w:val="22"/>
              </w:rPr>
            </w:pPr>
            <w:r>
              <w:rPr>
                <w:rFonts w:ascii="Calibri" w:hAnsi="Calibri" w:cs="Calibri"/>
                <w:b/>
                <w:bCs/>
                <w:color w:val="000000"/>
                <w:sz w:val="22"/>
                <w:szCs w:val="22"/>
              </w:rPr>
              <w:t>Adjusted minus Unadjusted</w:t>
            </w:r>
          </w:p>
        </w:tc>
        <w:tc>
          <w:tcPr>
            <w:tcW w:w="1127" w:type="dxa"/>
            <w:tcBorders>
              <w:top w:val="nil"/>
              <w:left w:val="nil"/>
              <w:bottom w:val="nil"/>
              <w:right w:val="nil"/>
            </w:tcBorders>
            <w:shd w:val="clear" w:color="auto" w:fill="FFFFFF"/>
            <w:tcMar>
              <w:left w:w="80" w:type="dxa"/>
              <w:right w:w="80" w:type="dxa"/>
            </w:tcMar>
            <w:vAlign w:val="bottom"/>
          </w:tcPr>
          <w:p w:rsidR="00CB376B" w:rsidRDefault="00CB376B" w:rsidP="00725735">
            <w:pPr>
              <w:keepNext/>
              <w:adjustRightInd w:val="0"/>
              <w:spacing w:before="80" w:after="80"/>
              <w:jc w:val="right"/>
              <w:rPr>
                <w:rFonts w:ascii="Calibri" w:hAnsi="Calibri" w:cs="Calibri"/>
                <w:color w:val="000000"/>
              </w:rPr>
            </w:pPr>
            <w:r>
              <w:rPr>
                <w:rFonts w:ascii="Calibri" w:hAnsi="Calibri" w:cs="Calibri"/>
                <w:color w:val="000000"/>
              </w:rPr>
              <w:t>0.08%</w:t>
            </w:r>
          </w:p>
        </w:tc>
        <w:tc>
          <w:tcPr>
            <w:tcW w:w="868" w:type="dxa"/>
            <w:tcBorders>
              <w:top w:val="nil"/>
              <w:left w:val="nil"/>
              <w:bottom w:val="nil"/>
              <w:right w:val="nil"/>
            </w:tcBorders>
            <w:shd w:val="clear" w:color="auto" w:fill="FFFFFF"/>
            <w:tcMar>
              <w:left w:w="80" w:type="dxa"/>
              <w:right w:w="80" w:type="dxa"/>
            </w:tcMar>
            <w:vAlign w:val="bottom"/>
          </w:tcPr>
          <w:p w:rsidR="00CB376B" w:rsidRDefault="00CB376B" w:rsidP="00725735">
            <w:pPr>
              <w:keepNext/>
              <w:adjustRightInd w:val="0"/>
              <w:spacing w:before="80" w:after="80"/>
              <w:jc w:val="right"/>
              <w:rPr>
                <w:rFonts w:ascii="Calibri" w:hAnsi="Calibri" w:cs="Calibri"/>
                <w:color w:val="000000"/>
              </w:rPr>
            </w:pPr>
            <w:r>
              <w:rPr>
                <w:rFonts w:ascii="Calibri" w:hAnsi="Calibri" w:cs="Calibri"/>
                <w:color w:val="000000"/>
              </w:rPr>
              <w:t>18.9</w:t>
            </w:r>
          </w:p>
        </w:tc>
      </w:tr>
      <w:tr w:rsidR="00CB376B" w:rsidTr="00CB376B">
        <w:trPr>
          <w:cantSplit/>
        </w:trPr>
        <w:tc>
          <w:tcPr>
            <w:tcW w:w="1440" w:type="dxa"/>
            <w:vMerge/>
            <w:tcBorders>
              <w:top w:val="nil"/>
              <w:left w:val="nil"/>
              <w:bottom w:val="nil"/>
              <w:right w:val="nil"/>
            </w:tcBorders>
            <w:shd w:val="clear" w:color="auto" w:fill="FFFFFF"/>
            <w:tcMar>
              <w:left w:w="80" w:type="dxa"/>
              <w:right w:w="80" w:type="dxa"/>
            </w:tcMar>
          </w:tcPr>
          <w:p w:rsidR="00CB376B" w:rsidRDefault="00CB376B" w:rsidP="00725735">
            <w:pPr>
              <w:adjustRightInd w:val="0"/>
            </w:pPr>
          </w:p>
        </w:tc>
        <w:tc>
          <w:tcPr>
            <w:tcW w:w="3376" w:type="dxa"/>
            <w:tcBorders>
              <w:top w:val="nil"/>
              <w:left w:val="nil"/>
              <w:bottom w:val="nil"/>
              <w:right w:val="nil"/>
            </w:tcBorders>
            <w:shd w:val="clear" w:color="auto" w:fill="FFFFFF"/>
            <w:tcMar>
              <w:left w:w="80" w:type="dxa"/>
              <w:right w:w="80" w:type="dxa"/>
            </w:tcMar>
          </w:tcPr>
          <w:p w:rsidR="00CB376B" w:rsidRDefault="00CB376B" w:rsidP="00725735">
            <w:pPr>
              <w:adjustRightInd w:val="0"/>
              <w:spacing w:before="80" w:after="80"/>
              <w:rPr>
                <w:rFonts w:ascii="Calibri" w:hAnsi="Calibri" w:cs="Calibri"/>
                <w:b/>
                <w:bCs/>
                <w:color w:val="000000"/>
                <w:sz w:val="22"/>
                <w:szCs w:val="22"/>
              </w:rPr>
            </w:pPr>
            <w:r>
              <w:rPr>
                <w:rFonts w:ascii="Calibri" w:hAnsi="Calibri" w:cs="Calibri"/>
                <w:b/>
                <w:bCs/>
                <w:color w:val="000000"/>
                <w:sz w:val="22"/>
                <w:szCs w:val="22"/>
              </w:rPr>
              <w:t>Adjusted minus Quote midpoint</w:t>
            </w:r>
          </w:p>
        </w:tc>
        <w:tc>
          <w:tcPr>
            <w:tcW w:w="1127" w:type="dxa"/>
            <w:tcBorders>
              <w:top w:val="nil"/>
              <w:left w:val="nil"/>
              <w:bottom w:val="nil"/>
              <w:right w:val="nil"/>
            </w:tcBorders>
            <w:shd w:val="clear" w:color="auto" w:fill="FFFFFF"/>
            <w:tcMar>
              <w:left w:w="80" w:type="dxa"/>
              <w:right w:w="80" w:type="dxa"/>
            </w:tcMar>
            <w:vAlign w:val="bottom"/>
          </w:tcPr>
          <w:p w:rsidR="00CB376B" w:rsidRDefault="00CB376B" w:rsidP="00725735">
            <w:pPr>
              <w:adjustRightInd w:val="0"/>
              <w:spacing w:before="80" w:after="80"/>
              <w:jc w:val="right"/>
              <w:rPr>
                <w:rFonts w:ascii="Calibri" w:hAnsi="Calibri" w:cs="Calibri"/>
                <w:color w:val="000000"/>
              </w:rPr>
            </w:pPr>
            <w:r>
              <w:rPr>
                <w:rFonts w:ascii="Calibri" w:hAnsi="Calibri" w:cs="Calibri"/>
                <w:color w:val="000000"/>
              </w:rPr>
              <w:t>0.39%</w:t>
            </w:r>
          </w:p>
        </w:tc>
        <w:tc>
          <w:tcPr>
            <w:tcW w:w="868" w:type="dxa"/>
            <w:tcBorders>
              <w:top w:val="nil"/>
              <w:left w:val="nil"/>
              <w:bottom w:val="nil"/>
              <w:right w:val="nil"/>
            </w:tcBorders>
            <w:shd w:val="clear" w:color="auto" w:fill="FFFFFF"/>
            <w:tcMar>
              <w:left w:w="80" w:type="dxa"/>
              <w:right w:w="80" w:type="dxa"/>
            </w:tcMar>
            <w:vAlign w:val="bottom"/>
          </w:tcPr>
          <w:p w:rsidR="00CB376B" w:rsidRDefault="00CB376B" w:rsidP="00725735">
            <w:pPr>
              <w:adjustRightInd w:val="0"/>
              <w:spacing w:before="80" w:after="80"/>
              <w:jc w:val="right"/>
              <w:rPr>
                <w:rFonts w:ascii="Calibri" w:hAnsi="Calibri" w:cs="Calibri"/>
                <w:color w:val="000000"/>
              </w:rPr>
            </w:pPr>
            <w:r>
              <w:rPr>
                <w:rFonts w:ascii="Calibri" w:hAnsi="Calibri" w:cs="Calibri"/>
                <w:color w:val="000000"/>
              </w:rPr>
              <w:t>27.6</w:t>
            </w:r>
          </w:p>
        </w:tc>
      </w:tr>
      <w:tr w:rsidR="00CB376B" w:rsidTr="00CB376B">
        <w:trPr>
          <w:cantSplit/>
        </w:trPr>
        <w:tc>
          <w:tcPr>
            <w:tcW w:w="1440" w:type="dxa"/>
            <w:vMerge w:val="restart"/>
            <w:tcBorders>
              <w:top w:val="nil"/>
              <w:left w:val="nil"/>
              <w:bottom w:val="nil"/>
              <w:right w:val="nil"/>
            </w:tcBorders>
            <w:shd w:val="clear" w:color="auto" w:fill="FFFFFF"/>
            <w:tcMar>
              <w:left w:w="80" w:type="dxa"/>
              <w:right w:w="80" w:type="dxa"/>
            </w:tcMar>
          </w:tcPr>
          <w:p w:rsidR="00CB376B" w:rsidRDefault="00CB376B" w:rsidP="00725735">
            <w:pPr>
              <w:keepNext/>
              <w:adjustRightInd w:val="0"/>
              <w:spacing w:before="80" w:after="80"/>
              <w:rPr>
                <w:rFonts w:ascii="Calibri" w:hAnsi="Calibri" w:cs="Calibri"/>
                <w:b/>
                <w:bCs/>
                <w:color w:val="000000"/>
                <w:sz w:val="22"/>
                <w:szCs w:val="22"/>
              </w:rPr>
            </w:pPr>
            <w:r>
              <w:rPr>
                <w:rFonts w:ascii="Calibri" w:hAnsi="Calibri" w:cs="Calibri"/>
                <w:b/>
                <w:bCs/>
                <w:color w:val="000000"/>
                <w:sz w:val="22"/>
                <w:szCs w:val="22"/>
              </w:rPr>
              <w:t>10</w:t>
            </w:r>
            <w:r w:rsidR="00D20E36">
              <w:rPr>
                <w:rFonts w:ascii="Calibri" w:hAnsi="Calibri" w:cs="Calibri"/>
                <w:b/>
                <w:bCs/>
                <w:color w:val="000000"/>
                <w:sz w:val="22"/>
                <w:szCs w:val="22"/>
              </w:rPr>
              <w:t>s</w:t>
            </w:r>
          </w:p>
        </w:tc>
        <w:tc>
          <w:tcPr>
            <w:tcW w:w="3376" w:type="dxa"/>
            <w:tcBorders>
              <w:top w:val="nil"/>
              <w:left w:val="nil"/>
              <w:bottom w:val="nil"/>
              <w:right w:val="nil"/>
            </w:tcBorders>
            <w:shd w:val="clear" w:color="auto" w:fill="FFFFFF"/>
            <w:tcMar>
              <w:left w:w="80" w:type="dxa"/>
              <w:right w:w="80" w:type="dxa"/>
            </w:tcMar>
          </w:tcPr>
          <w:p w:rsidR="00CB376B" w:rsidRDefault="00CB376B" w:rsidP="00725735">
            <w:pPr>
              <w:keepNext/>
              <w:adjustRightInd w:val="0"/>
              <w:spacing w:before="80" w:after="80"/>
              <w:rPr>
                <w:rFonts w:ascii="Calibri" w:hAnsi="Calibri" w:cs="Calibri"/>
                <w:b/>
                <w:bCs/>
                <w:color w:val="000000"/>
                <w:sz w:val="22"/>
                <w:szCs w:val="22"/>
              </w:rPr>
            </w:pPr>
            <w:r>
              <w:rPr>
                <w:rFonts w:ascii="Calibri" w:hAnsi="Calibri" w:cs="Calibri"/>
                <w:b/>
                <w:bCs/>
                <w:color w:val="000000"/>
                <w:sz w:val="22"/>
                <w:szCs w:val="22"/>
              </w:rPr>
              <w:t>Unadjusted minus Quote midpoint</w:t>
            </w:r>
          </w:p>
        </w:tc>
        <w:tc>
          <w:tcPr>
            <w:tcW w:w="1127" w:type="dxa"/>
            <w:tcBorders>
              <w:top w:val="nil"/>
              <w:left w:val="nil"/>
              <w:bottom w:val="nil"/>
              <w:right w:val="nil"/>
            </w:tcBorders>
            <w:shd w:val="clear" w:color="auto" w:fill="FFFFFF"/>
            <w:tcMar>
              <w:left w:w="80" w:type="dxa"/>
              <w:right w:w="80" w:type="dxa"/>
            </w:tcMar>
            <w:vAlign w:val="bottom"/>
          </w:tcPr>
          <w:p w:rsidR="00CB376B" w:rsidRDefault="00CB376B" w:rsidP="00725735">
            <w:pPr>
              <w:keepNext/>
              <w:adjustRightInd w:val="0"/>
              <w:spacing w:before="80" w:after="80"/>
              <w:jc w:val="right"/>
              <w:rPr>
                <w:rFonts w:ascii="Calibri" w:hAnsi="Calibri" w:cs="Calibri"/>
                <w:color w:val="000000"/>
              </w:rPr>
            </w:pPr>
            <w:r>
              <w:rPr>
                <w:rFonts w:ascii="Calibri" w:hAnsi="Calibri" w:cs="Calibri"/>
                <w:color w:val="000000"/>
              </w:rPr>
              <w:t>0.37%</w:t>
            </w:r>
          </w:p>
        </w:tc>
        <w:tc>
          <w:tcPr>
            <w:tcW w:w="868" w:type="dxa"/>
            <w:tcBorders>
              <w:top w:val="nil"/>
              <w:left w:val="nil"/>
              <w:bottom w:val="nil"/>
              <w:right w:val="nil"/>
            </w:tcBorders>
            <w:shd w:val="clear" w:color="auto" w:fill="FFFFFF"/>
            <w:tcMar>
              <w:left w:w="80" w:type="dxa"/>
              <w:right w:w="80" w:type="dxa"/>
            </w:tcMar>
            <w:vAlign w:val="bottom"/>
          </w:tcPr>
          <w:p w:rsidR="00CB376B" w:rsidRDefault="00CB376B" w:rsidP="00725735">
            <w:pPr>
              <w:keepNext/>
              <w:adjustRightInd w:val="0"/>
              <w:spacing w:before="80" w:after="80"/>
              <w:jc w:val="right"/>
              <w:rPr>
                <w:rFonts w:ascii="Calibri" w:hAnsi="Calibri" w:cs="Calibri"/>
                <w:color w:val="000000"/>
              </w:rPr>
            </w:pPr>
            <w:r>
              <w:rPr>
                <w:rFonts w:ascii="Calibri" w:hAnsi="Calibri" w:cs="Calibri"/>
                <w:color w:val="000000"/>
              </w:rPr>
              <w:t>26.6</w:t>
            </w:r>
          </w:p>
        </w:tc>
      </w:tr>
      <w:tr w:rsidR="00CB376B" w:rsidTr="00CB376B">
        <w:trPr>
          <w:cantSplit/>
        </w:trPr>
        <w:tc>
          <w:tcPr>
            <w:tcW w:w="1440" w:type="dxa"/>
            <w:vMerge/>
            <w:tcBorders>
              <w:top w:val="nil"/>
              <w:left w:val="nil"/>
              <w:bottom w:val="nil"/>
              <w:right w:val="nil"/>
            </w:tcBorders>
            <w:shd w:val="clear" w:color="auto" w:fill="FFFFFF"/>
            <w:tcMar>
              <w:left w:w="80" w:type="dxa"/>
              <w:right w:w="80" w:type="dxa"/>
            </w:tcMar>
          </w:tcPr>
          <w:p w:rsidR="00CB376B" w:rsidRDefault="00CB376B" w:rsidP="00725735">
            <w:pPr>
              <w:keepNext/>
              <w:adjustRightInd w:val="0"/>
            </w:pPr>
          </w:p>
        </w:tc>
        <w:tc>
          <w:tcPr>
            <w:tcW w:w="3376" w:type="dxa"/>
            <w:tcBorders>
              <w:top w:val="nil"/>
              <w:left w:val="nil"/>
              <w:bottom w:val="nil"/>
              <w:right w:val="nil"/>
            </w:tcBorders>
            <w:shd w:val="clear" w:color="auto" w:fill="FFFFFF"/>
            <w:tcMar>
              <w:left w:w="80" w:type="dxa"/>
              <w:right w:w="80" w:type="dxa"/>
            </w:tcMar>
          </w:tcPr>
          <w:p w:rsidR="00CB376B" w:rsidRDefault="00CB376B" w:rsidP="00725735">
            <w:pPr>
              <w:keepNext/>
              <w:adjustRightInd w:val="0"/>
              <w:spacing w:before="80" w:after="80"/>
              <w:rPr>
                <w:rFonts w:ascii="Calibri" w:hAnsi="Calibri" w:cs="Calibri"/>
                <w:b/>
                <w:bCs/>
                <w:color w:val="000000"/>
                <w:sz w:val="22"/>
                <w:szCs w:val="22"/>
              </w:rPr>
            </w:pPr>
            <w:r>
              <w:rPr>
                <w:rFonts w:ascii="Calibri" w:hAnsi="Calibri" w:cs="Calibri"/>
                <w:b/>
                <w:bCs/>
                <w:color w:val="000000"/>
                <w:sz w:val="22"/>
                <w:szCs w:val="22"/>
              </w:rPr>
              <w:t>Adjusted minus Unadjusted</w:t>
            </w:r>
          </w:p>
        </w:tc>
        <w:tc>
          <w:tcPr>
            <w:tcW w:w="1127" w:type="dxa"/>
            <w:tcBorders>
              <w:top w:val="nil"/>
              <w:left w:val="nil"/>
              <w:bottom w:val="nil"/>
              <w:right w:val="nil"/>
            </w:tcBorders>
            <w:shd w:val="clear" w:color="auto" w:fill="FFFFFF"/>
            <w:tcMar>
              <w:left w:w="80" w:type="dxa"/>
              <w:right w:w="80" w:type="dxa"/>
            </w:tcMar>
            <w:vAlign w:val="bottom"/>
          </w:tcPr>
          <w:p w:rsidR="00CB376B" w:rsidRDefault="00CB376B" w:rsidP="00725735">
            <w:pPr>
              <w:keepNext/>
              <w:adjustRightInd w:val="0"/>
              <w:spacing w:before="80" w:after="80"/>
              <w:jc w:val="right"/>
              <w:rPr>
                <w:rFonts w:ascii="Calibri" w:hAnsi="Calibri" w:cs="Calibri"/>
                <w:color w:val="000000"/>
              </w:rPr>
            </w:pPr>
            <w:r>
              <w:rPr>
                <w:rFonts w:ascii="Calibri" w:hAnsi="Calibri" w:cs="Calibri"/>
                <w:color w:val="000000"/>
              </w:rPr>
              <w:t>0.08%</w:t>
            </w:r>
          </w:p>
        </w:tc>
        <w:tc>
          <w:tcPr>
            <w:tcW w:w="868" w:type="dxa"/>
            <w:tcBorders>
              <w:top w:val="nil"/>
              <w:left w:val="nil"/>
              <w:bottom w:val="nil"/>
              <w:right w:val="nil"/>
            </w:tcBorders>
            <w:shd w:val="clear" w:color="auto" w:fill="FFFFFF"/>
            <w:tcMar>
              <w:left w:w="80" w:type="dxa"/>
              <w:right w:w="80" w:type="dxa"/>
            </w:tcMar>
            <w:vAlign w:val="bottom"/>
          </w:tcPr>
          <w:p w:rsidR="00CB376B" w:rsidRDefault="00CB376B" w:rsidP="00725735">
            <w:pPr>
              <w:keepNext/>
              <w:adjustRightInd w:val="0"/>
              <w:spacing w:before="80" w:after="80"/>
              <w:jc w:val="right"/>
              <w:rPr>
                <w:rFonts w:ascii="Calibri" w:hAnsi="Calibri" w:cs="Calibri"/>
                <w:color w:val="000000"/>
              </w:rPr>
            </w:pPr>
            <w:r>
              <w:rPr>
                <w:rFonts w:ascii="Calibri" w:hAnsi="Calibri" w:cs="Calibri"/>
                <w:color w:val="000000"/>
              </w:rPr>
              <w:t>14.1</w:t>
            </w:r>
          </w:p>
        </w:tc>
      </w:tr>
      <w:tr w:rsidR="00CB376B" w:rsidTr="00CB376B">
        <w:trPr>
          <w:cantSplit/>
        </w:trPr>
        <w:tc>
          <w:tcPr>
            <w:tcW w:w="1440" w:type="dxa"/>
            <w:vMerge/>
            <w:tcBorders>
              <w:top w:val="nil"/>
              <w:left w:val="nil"/>
              <w:bottom w:val="nil"/>
              <w:right w:val="nil"/>
            </w:tcBorders>
            <w:shd w:val="clear" w:color="auto" w:fill="FFFFFF"/>
            <w:tcMar>
              <w:left w:w="80" w:type="dxa"/>
              <w:right w:w="80" w:type="dxa"/>
            </w:tcMar>
          </w:tcPr>
          <w:p w:rsidR="00CB376B" w:rsidRDefault="00CB376B" w:rsidP="00725735">
            <w:pPr>
              <w:adjustRightInd w:val="0"/>
            </w:pPr>
          </w:p>
        </w:tc>
        <w:tc>
          <w:tcPr>
            <w:tcW w:w="3376" w:type="dxa"/>
            <w:tcBorders>
              <w:top w:val="nil"/>
              <w:left w:val="nil"/>
              <w:bottom w:val="nil"/>
              <w:right w:val="nil"/>
            </w:tcBorders>
            <w:shd w:val="clear" w:color="auto" w:fill="FFFFFF"/>
            <w:tcMar>
              <w:left w:w="80" w:type="dxa"/>
              <w:right w:w="80" w:type="dxa"/>
            </w:tcMar>
          </w:tcPr>
          <w:p w:rsidR="00CB376B" w:rsidRDefault="00CB376B" w:rsidP="00725735">
            <w:pPr>
              <w:adjustRightInd w:val="0"/>
              <w:spacing w:before="80" w:after="80"/>
              <w:rPr>
                <w:rFonts w:ascii="Calibri" w:hAnsi="Calibri" w:cs="Calibri"/>
                <w:b/>
                <w:bCs/>
                <w:color w:val="000000"/>
                <w:sz w:val="22"/>
                <w:szCs w:val="22"/>
              </w:rPr>
            </w:pPr>
            <w:r>
              <w:rPr>
                <w:rFonts w:ascii="Calibri" w:hAnsi="Calibri" w:cs="Calibri"/>
                <w:b/>
                <w:bCs/>
                <w:color w:val="000000"/>
                <w:sz w:val="22"/>
                <w:szCs w:val="22"/>
              </w:rPr>
              <w:t>Adjusted minus Quote midpoint</w:t>
            </w:r>
          </w:p>
        </w:tc>
        <w:tc>
          <w:tcPr>
            <w:tcW w:w="1127" w:type="dxa"/>
            <w:tcBorders>
              <w:top w:val="nil"/>
              <w:left w:val="nil"/>
              <w:bottom w:val="nil"/>
              <w:right w:val="nil"/>
            </w:tcBorders>
            <w:shd w:val="clear" w:color="auto" w:fill="FFFFFF"/>
            <w:tcMar>
              <w:left w:w="80" w:type="dxa"/>
              <w:right w:w="80" w:type="dxa"/>
            </w:tcMar>
            <w:vAlign w:val="bottom"/>
          </w:tcPr>
          <w:p w:rsidR="00CB376B" w:rsidRDefault="00CB376B" w:rsidP="00725735">
            <w:pPr>
              <w:adjustRightInd w:val="0"/>
              <w:spacing w:before="80" w:after="80"/>
              <w:jc w:val="right"/>
              <w:rPr>
                <w:rFonts w:ascii="Calibri" w:hAnsi="Calibri" w:cs="Calibri"/>
                <w:color w:val="000000"/>
              </w:rPr>
            </w:pPr>
            <w:r>
              <w:rPr>
                <w:rFonts w:ascii="Calibri" w:hAnsi="Calibri" w:cs="Calibri"/>
                <w:color w:val="000000"/>
              </w:rPr>
              <w:t>0.45%</w:t>
            </w:r>
          </w:p>
        </w:tc>
        <w:tc>
          <w:tcPr>
            <w:tcW w:w="868" w:type="dxa"/>
            <w:tcBorders>
              <w:top w:val="nil"/>
              <w:left w:val="nil"/>
              <w:bottom w:val="nil"/>
              <w:right w:val="nil"/>
            </w:tcBorders>
            <w:shd w:val="clear" w:color="auto" w:fill="FFFFFF"/>
            <w:tcMar>
              <w:left w:w="80" w:type="dxa"/>
              <w:right w:w="80" w:type="dxa"/>
            </w:tcMar>
            <w:vAlign w:val="bottom"/>
          </w:tcPr>
          <w:p w:rsidR="00CB376B" w:rsidRDefault="00CB376B" w:rsidP="00725735">
            <w:pPr>
              <w:adjustRightInd w:val="0"/>
              <w:spacing w:before="80" w:after="80"/>
              <w:jc w:val="right"/>
              <w:rPr>
                <w:rFonts w:ascii="Calibri" w:hAnsi="Calibri" w:cs="Calibri"/>
                <w:color w:val="000000"/>
              </w:rPr>
            </w:pPr>
            <w:r>
              <w:rPr>
                <w:rFonts w:ascii="Calibri" w:hAnsi="Calibri" w:cs="Calibri"/>
                <w:color w:val="000000"/>
              </w:rPr>
              <w:t>24.8</w:t>
            </w:r>
          </w:p>
        </w:tc>
      </w:tr>
      <w:tr w:rsidR="00CB376B" w:rsidTr="00CB376B">
        <w:trPr>
          <w:cantSplit/>
        </w:trPr>
        <w:tc>
          <w:tcPr>
            <w:tcW w:w="1440" w:type="dxa"/>
            <w:vMerge w:val="restart"/>
            <w:tcBorders>
              <w:top w:val="nil"/>
              <w:left w:val="nil"/>
              <w:bottom w:val="nil"/>
              <w:right w:val="nil"/>
            </w:tcBorders>
            <w:shd w:val="clear" w:color="auto" w:fill="FFFFFF"/>
            <w:tcMar>
              <w:left w:w="80" w:type="dxa"/>
              <w:right w:w="80" w:type="dxa"/>
            </w:tcMar>
          </w:tcPr>
          <w:p w:rsidR="00CB376B" w:rsidRDefault="00CB376B" w:rsidP="00725735">
            <w:pPr>
              <w:keepNext/>
              <w:adjustRightInd w:val="0"/>
              <w:spacing w:before="80" w:after="80"/>
              <w:rPr>
                <w:rFonts w:ascii="Calibri" w:hAnsi="Calibri" w:cs="Calibri"/>
                <w:b/>
                <w:bCs/>
                <w:color w:val="000000"/>
                <w:sz w:val="22"/>
                <w:szCs w:val="22"/>
              </w:rPr>
            </w:pPr>
            <w:r>
              <w:rPr>
                <w:rFonts w:ascii="Calibri" w:hAnsi="Calibri" w:cs="Calibri"/>
                <w:b/>
                <w:bCs/>
                <w:color w:val="000000"/>
                <w:sz w:val="22"/>
                <w:szCs w:val="22"/>
              </w:rPr>
              <w:t>20</w:t>
            </w:r>
            <w:r w:rsidR="00D20E36">
              <w:rPr>
                <w:rFonts w:ascii="Calibri" w:hAnsi="Calibri" w:cs="Calibri"/>
                <w:b/>
                <w:bCs/>
                <w:color w:val="000000"/>
                <w:sz w:val="22"/>
                <w:szCs w:val="22"/>
              </w:rPr>
              <w:t>s</w:t>
            </w:r>
          </w:p>
        </w:tc>
        <w:tc>
          <w:tcPr>
            <w:tcW w:w="3376" w:type="dxa"/>
            <w:tcBorders>
              <w:top w:val="nil"/>
              <w:left w:val="nil"/>
              <w:bottom w:val="nil"/>
              <w:right w:val="nil"/>
            </w:tcBorders>
            <w:shd w:val="clear" w:color="auto" w:fill="FFFFFF"/>
            <w:tcMar>
              <w:left w:w="80" w:type="dxa"/>
              <w:right w:w="80" w:type="dxa"/>
            </w:tcMar>
          </w:tcPr>
          <w:p w:rsidR="00CB376B" w:rsidRDefault="00CB376B" w:rsidP="00725735">
            <w:pPr>
              <w:keepNext/>
              <w:adjustRightInd w:val="0"/>
              <w:spacing w:before="80" w:after="80"/>
              <w:rPr>
                <w:rFonts w:ascii="Calibri" w:hAnsi="Calibri" w:cs="Calibri"/>
                <w:b/>
                <w:bCs/>
                <w:color w:val="000000"/>
                <w:sz w:val="22"/>
                <w:szCs w:val="22"/>
              </w:rPr>
            </w:pPr>
            <w:r>
              <w:rPr>
                <w:rFonts w:ascii="Calibri" w:hAnsi="Calibri" w:cs="Calibri"/>
                <w:b/>
                <w:bCs/>
                <w:color w:val="000000"/>
                <w:sz w:val="22"/>
                <w:szCs w:val="22"/>
              </w:rPr>
              <w:t>Unadjusted minus Quote midpoint</w:t>
            </w:r>
          </w:p>
        </w:tc>
        <w:tc>
          <w:tcPr>
            <w:tcW w:w="1127" w:type="dxa"/>
            <w:tcBorders>
              <w:top w:val="nil"/>
              <w:left w:val="nil"/>
              <w:bottom w:val="nil"/>
              <w:right w:val="nil"/>
            </w:tcBorders>
            <w:shd w:val="clear" w:color="auto" w:fill="FFFFFF"/>
            <w:tcMar>
              <w:left w:w="80" w:type="dxa"/>
              <w:right w:w="80" w:type="dxa"/>
            </w:tcMar>
            <w:vAlign w:val="bottom"/>
          </w:tcPr>
          <w:p w:rsidR="00CB376B" w:rsidRDefault="00CB376B" w:rsidP="00725735">
            <w:pPr>
              <w:keepNext/>
              <w:adjustRightInd w:val="0"/>
              <w:spacing w:before="80" w:after="80"/>
              <w:jc w:val="right"/>
              <w:rPr>
                <w:rFonts w:ascii="Calibri" w:hAnsi="Calibri" w:cs="Calibri"/>
                <w:color w:val="000000"/>
              </w:rPr>
            </w:pPr>
            <w:r>
              <w:rPr>
                <w:rFonts w:ascii="Calibri" w:hAnsi="Calibri" w:cs="Calibri"/>
                <w:color w:val="000000"/>
              </w:rPr>
              <w:t>0.41%</w:t>
            </w:r>
          </w:p>
        </w:tc>
        <w:tc>
          <w:tcPr>
            <w:tcW w:w="868" w:type="dxa"/>
            <w:tcBorders>
              <w:top w:val="nil"/>
              <w:left w:val="nil"/>
              <w:bottom w:val="nil"/>
              <w:right w:val="nil"/>
            </w:tcBorders>
            <w:shd w:val="clear" w:color="auto" w:fill="FFFFFF"/>
            <w:tcMar>
              <w:left w:w="80" w:type="dxa"/>
              <w:right w:w="80" w:type="dxa"/>
            </w:tcMar>
            <w:vAlign w:val="bottom"/>
          </w:tcPr>
          <w:p w:rsidR="00CB376B" w:rsidRDefault="00CB376B" w:rsidP="00725735">
            <w:pPr>
              <w:keepNext/>
              <w:adjustRightInd w:val="0"/>
              <w:spacing w:before="80" w:after="80"/>
              <w:jc w:val="right"/>
              <w:rPr>
                <w:rFonts w:ascii="Calibri" w:hAnsi="Calibri" w:cs="Calibri"/>
                <w:color w:val="000000"/>
              </w:rPr>
            </w:pPr>
            <w:r>
              <w:rPr>
                <w:rFonts w:ascii="Calibri" w:hAnsi="Calibri" w:cs="Calibri"/>
                <w:color w:val="000000"/>
              </w:rPr>
              <w:t>24.3</w:t>
            </w:r>
          </w:p>
        </w:tc>
      </w:tr>
      <w:tr w:rsidR="00CB376B" w:rsidTr="00CB376B">
        <w:trPr>
          <w:cantSplit/>
        </w:trPr>
        <w:tc>
          <w:tcPr>
            <w:tcW w:w="1440" w:type="dxa"/>
            <w:vMerge/>
            <w:tcBorders>
              <w:top w:val="nil"/>
              <w:left w:val="nil"/>
              <w:bottom w:val="nil"/>
              <w:right w:val="nil"/>
            </w:tcBorders>
            <w:shd w:val="clear" w:color="auto" w:fill="FFFFFF"/>
            <w:tcMar>
              <w:left w:w="80" w:type="dxa"/>
              <w:right w:w="80" w:type="dxa"/>
            </w:tcMar>
          </w:tcPr>
          <w:p w:rsidR="00CB376B" w:rsidRDefault="00CB376B" w:rsidP="00725735">
            <w:pPr>
              <w:keepNext/>
              <w:adjustRightInd w:val="0"/>
            </w:pPr>
          </w:p>
        </w:tc>
        <w:tc>
          <w:tcPr>
            <w:tcW w:w="3376" w:type="dxa"/>
            <w:tcBorders>
              <w:top w:val="nil"/>
              <w:left w:val="nil"/>
              <w:bottom w:val="nil"/>
              <w:right w:val="nil"/>
            </w:tcBorders>
            <w:shd w:val="clear" w:color="auto" w:fill="FFFFFF"/>
            <w:tcMar>
              <w:left w:w="80" w:type="dxa"/>
              <w:right w:w="80" w:type="dxa"/>
            </w:tcMar>
          </w:tcPr>
          <w:p w:rsidR="00CB376B" w:rsidRDefault="00CB376B" w:rsidP="00725735">
            <w:pPr>
              <w:keepNext/>
              <w:adjustRightInd w:val="0"/>
              <w:spacing w:before="80" w:after="80"/>
              <w:rPr>
                <w:rFonts w:ascii="Calibri" w:hAnsi="Calibri" w:cs="Calibri"/>
                <w:b/>
                <w:bCs/>
                <w:color w:val="000000"/>
                <w:sz w:val="22"/>
                <w:szCs w:val="22"/>
              </w:rPr>
            </w:pPr>
            <w:r>
              <w:rPr>
                <w:rFonts w:ascii="Calibri" w:hAnsi="Calibri" w:cs="Calibri"/>
                <w:b/>
                <w:bCs/>
                <w:color w:val="000000"/>
                <w:sz w:val="22"/>
                <w:szCs w:val="22"/>
              </w:rPr>
              <w:t>Adjusted minus Unadjusted</w:t>
            </w:r>
          </w:p>
        </w:tc>
        <w:tc>
          <w:tcPr>
            <w:tcW w:w="1127" w:type="dxa"/>
            <w:tcBorders>
              <w:top w:val="nil"/>
              <w:left w:val="nil"/>
              <w:bottom w:val="nil"/>
              <w:right w:val="nil"/>
            </w:tcBorders>
            <w:shd w:val="clear" w:color="auto" w:fill="FFFFFF"/>
            <w:tcMar>
              <w:left w:w="80" w:type="dxa"/>
              <w:right w:w="80" w:type="dxa"/>
            </w:tcMar>
            <w:vAlign w:val="bottom"/>
          </w:tcPr>
          <w:p w:rsidR="00CB376B" w:rsidRDefault="00CB376B" w:rsidP="00725735">
            <w:pPr>
              <w:keepNext/>
              <w:adjustRightInd w:val="0"/>
              <w:spacing w:before="80" w:after="80"/>
              <w:jc w:val="right"/>
              <w:rPr>
                <w:rFonts w:ascii="Calibri" w:hAnsi="Calibri" w:cs="Calibri"/>
                <w:color w:val="000000"/>
              </w:rPr>
            </w:pPr>
            <w:r>
              <w:rPr>
                <w:rFonts w:ascii="Calibri" w:hAnsi="Calibri" w:cs="Calibri"/>
                <w:color w:val="000000"/>
              </w:rPr>
              <w:t>0.04%</w:t>
            </w:r>
          </w:p>
        </w:tc>
        <w:tc>
          <w:tcPr>
            <w:tcW w:w="868" w:type="dxa"/>
            <w:tcBorders>
              <w:top w:val="nil"/>
              <w:left w:val="nil"/>
              <w:bottom w:val="nil"/>
              <w:right w:val="nil"/>
            </w:tcBorders>
            <w:shd w:val="clear" w:color="auto" w:fill="FFFFFF"/>
            <w:tcMar>
              <w:left w:w="80" w:type="dxa"/>
              <w:right w:w="80" w:type="dxa"/>
            </w:tcMar>
            <w:vAlign w:val="bottom"/>
          </w:tcPr>
          <w:p w:rsidR="00CB376B" w:rsidRDefault="00CB376B" w:rsidP="00725735">
            <w:pPr>
              <w:keepNext/>
              <w:adjustRightInd w:val="0"/>
              <w:spacing w:before="80" w:after="80"/>
              <w:jc w:val="right"/>
              <w:rPr>
                <w:rFonts w:ascii="Calibri" w:hAnsi="Calibri" w:cs="Calibri"/>
                <w:color w:val="000000"/>
              </w:rPr>
            </w:pPr>
            <w:r>
              <w:rPr>
                <w:rFonts w:ascii="Calibri" w:hAnsi="Calibri" w:cs="Calibri"/>
                <w:color w:val="000000"/>
              </w:rPr>
              <w:t>6.7</w:t>
            </w:r>
          </w:p>
        </w:tc>
      </w:tr>
      <w:tr w:rsidR="00CB376B" w:rsidTr="00CB376B">
        <w:trPr>
          <w:cantSplit/>
        </w:trPr>
        <w:tc>
          <w:tcPr>
            <w:tcW w:w="1440" w:type="dxa"/>
            <w:vMerge/>
            <w:tcBorders>
              <w:top w:val="nil"/>
              <w:left w:val="nil"/>
              <w:bottom w:val="nil"/>
              <w:right w:val="nil"/>
            </w:tcBorders>
            <w:shd w:val="clear" w:color="auto" w:fill="FFFFFF"/>
            <w:tcMar>
              <w:left w:w="80" w:type="dxa"/>
              <w:right w:w="80" w:type="dxa"/>
            </w:tcMar>
          </w:tcPr>
          <w:p w:rsidR="00CB376B" w:rsidRDefault="00CB376B" w:rsidP="00725735">
            <w:pPr>
              <w:adjustRightInd w:val="0"/>
            </w:pPr>
          </w:p>
        </w:tc>
        <w:tc>
          <w:tcPr>
            <w:tcW w:w="3376" w:type="dxa"/>
            <w:tcBorders>
              <w:top w:val="nil"/>
              <w:left w:val="nil"/>
              <w:bottom w:val="nil"/>
              <w:right w:val="nil"/>
            </w:tcBorders>
            <w:shd w:val="clear" w:color="auto" w:fill="FFFFFF"/>
            <w:tcMar>
              <w:left w:w="80" w:type="dxa"/>
              <w:right w:w="80" w:type="dxa"/>
            </w:tcMar>
          </w:tcPr>
          <w:p w:rsidR="00CB376B" w:rsidRDefault="00CB376B" w:rsidP="00725735">
            <w:pPr>
              <w:adjustRightInd w:val="0"/>
              <w:spacing w:before="80" w:after="80"/>
              <w:rPr>
                <w:rFonts w:ascii="Calibri" w:hAnsi="Calibri" w:cs="Calibri"/>
                <w:b/>
                <w:bCs/>
                <w:color w:val="000000"/>
                <w:sz w:val="22"/>
                <w:szCs w:val="22"/>
              </w:rPr>
            </w:pPr>
            <w:r>
              <w:rPr>
                <w:rFonts w:ascii="Calibri" w:hAnsi="Calibri" w:cs="Calibri"/>
                <w:b/>
                <w:bCs/>
                <w:color w:val="000000"/>
                <w:sz w:val="22"/>
                <w:szCs w:val="22"/>
              </w:rPr>
              <w:t>Adjusted minus Quote midpoint</w:t>
            </w:r>
          </w:p>
        </w:tc>
        <w:tc>
          <w:tcPr>
            <w:tcW w:w="1127" w:type="dxa"/>
            <w:tcBorders>
              <w:top w:val="nil"/>
              <w:left w:val="nil"/>
              <w:bottom w:val="nil"/>
              <w:right w:val="nil"/>
            </w:tcBorders>
            <w:shd w:val="clear" w:color="auto" w:fill="FFFFFF"/>
            <w:tcMar>
              <w:left w:w="80" w:type="dxa"/>
              <w:right w:w="80" w:type="dxa"/>
            </w:tcMar>
            <w:vAlign w:val="bottom"/>
          </w:tcPr>
          <w:p w:rsidR="00CB376B" w:rsidRDefault="00CB376B" w:rsidP="00725735">
            <w:pPr>
              <w:adjustRightInd w:val="0"/>
              <w:spacing w:before="80" w:after="80"/>
              <w:jc w:val="right"/>
              <w:rPr>
                <w:rFonts w:ascii="Calibri" w:hAnsi="Calibri" w:cs="Calibri"/>
                <w:color w:val="000000"/>
              </w:rPr>
            </w:pPr>
            <w:r>
              <w:rPr>
                <w:rFonts w:ascii="Calibri" w:hAnsi="Calibri" w:cs="Calibri"/>
                <w:color w:val="000000"/>
              </w:rPr>
              <w:t>0.45%</w:t>
            </w:r>
          </w:p>
        </w:tc>
        <w:tc>
          <w:tcPr>
            <w:tcW w:w="868" w:type="dxa"/>
            <w:tcBorders>
              <w:top w:val="nil"/>
              <w:left w:val="nil"/>
              <w:bottom w:val="nil"/>
              <w:right w:val="nil"/>
            </w:tcBorders>
            <w:shd w:val="clear" w:color="auto" w:fill="FFFFFF"/>
            <w:tcMar>
              <w:left w:w="80" w:type="dxa"/>
              <w:right w:w="80" w:type="dxa"/>
            </w:tcMar>
            <w:vAlign w:val="bottom"/>
          </w:tcPr>
          <w:p w:rsidR="00CB376B" w:rsidRDefault="00CB376B" w:rsidP="00725735">
            <w:pPr>
              <w:adjustRightInd w:val="0"/>
              <w:spacing w:before="80" w:after="80"/>
              <w:jc w:val="right"/>
              <w:rPr>
                <w:rFonts w:ascii="Calibri" w:hAnsi="Calibri" w:cs="Calibri"/>
                <w:color w:val="000000"/>
              </w:rPr>
            </w:pPr>
            <w:r>
              <w:rPr>
                <w:rFonts w:ascii="Calibri" w:hAnsi="Calibri" w:cs="Calibri"/>
                <w:color w:val="000000"/>
              </w:rPr>
              <w:t>20.8</w:t>
            </w:r>
          </w:p>
        </w:tc>
      </w:tr>
      <w:tr w:rsidR="00CB376B" w:rsidTr="00CB376B">
        <w:trPr>
          <w:cantSplit/>
        </w:trPr>
        <w:tc>
          <w:tcPr>
            <w:tcW w:w="1440" w:type="dxa"/>
            <w:vMerge w:val="restart"/>
            <w:tcBorders>
              <w:top w:val="nil"/>
              <w:left w:val="nil"/>
              <w:bottom w:val="nil"/>
              <w:right w:val="nil"/>
            </w:tcBorders>
            <w:shd w:val="clear" w:color="auto" w:fill="FFFFFF"/>
            <w:tcMar>
              <w:left w:w="80" w:type="dxa"/>
              <w:right w:w="80" w:type="dxa"/>
            </w:tcMar>
          </w:tcPr>
          <w:p w:rsidR="00CB376B" w:rsidRDefault="00CB376B" w:rsidP="00725735">
            <w:pPr>
              <w:keepNext/>
              <w:adjustRightInd w:val="0"/>
              <w:spacing w:before="80" w:after="80"/>
              <w:rPr>
                <w:rFonts w:ascii="Calibri" w:hAnsi="Calibri" w:cs="Calibri"/>
                <w:b/>
                <w:bCs/>
                <w:color w:val="000000"/>
                <w:sz w:val="22"/>
                <w:szCs w:val="22"/>
              </w:rPr>
            </w:pPr>
            <w:r>
              <w:rPr>
                <w:rFonts w:ascii="Calibri" w:hAnsi="Calibri" w:cs="Calibri"/>
                <w:b/>
                <w:bCs/>
                <w:color w:val="000000"/>
                <w:sz w:val="22"/>
                <w:szCs w:val="22"/>
              </w:rPr>
              <w:t>30</w:t>
            </w:r>
            <w:r w:rsidR="00D20E36">
              <w:rPr>
                <w:rFonts w:ascii="Calibri" w:hAnsi="Calibri" w:cs="Calibri"/>
                <w:b/>
                <w:bCs/>
                <w:color w:val="000000"/>
                <w:sz w:val="22"/>
                <w:szCs w:val="22"/>
              </w:rPr>
              <w:t>s</w:t>
            </w:r>
          </w:p>
        </w:tc>
        <w:tc>
          <w:tcPr>
            <w:tcW w:w="3376" w:type="dxa"/>
            <w:tcBorders>
              <w:top w:val="nil"/>
              <w:left w:val="nil"/>
              <w:bottom w:val="nil"/>
              <w:right w:val="nil"/>
            </w:tcBorders>
            <w:shd w:val="clear" w:color="auto" w:fill="FFFFFF"/>
            <w:tcMar>
              <w:left w:w="80" w:type="dxa"/>
              <w:right w:w="80" w:type="dxa"/>
            </w:tcMar>
          </w:tcPr>
          <w:p w:rsidR="00CB376B" w:rsidRDefault="00CB376B" w:rsidP="00725735">
            <w:pPr>
              <w:keepNext/>
              <w:adjustRightInd w:val="0"/>
              <w:spacing w:before="80" w:after="80"/>
              <w:rPr>
                <w:rFonts w:ascii="Calibri" w:hAnsi="Calibri" w:cs="Calibri"/>
                <w:b/>
                <w:bCs/>
                <w:color w:val="000000"/>
                <w:sz w:val="22"/>
                <w:szCs w:val="22"/>
              </w:rPr>
            </w:pPr>
            <w:r>
              <w:rPr>
                <w:rFonts w:ascii="Calibri" w:hAnsi="Calibri" w:cs="Calibri"/>
                <w:b/>
                <w:bCs/>
                <w:color w:val="000000"/>
                <w:sz w:val="22"/>
                <w:szCs w:val="22"/>
              </w:rPr>
              <w:t>Unadjusted minus Quote midpoint</w:t>
            </w:r>
          </w:p>
        </w:tc>
        <w:tc>
          <w:tcPr>
            <w:tcW w:w="1127" w:type="dxa"/>
            <w:tcBorders>
              <w:top w:val="nil"/>
              <w:left w:val="nil"/>
              <w:bottom w:val="nil"/>
              <w:right w:val="nil"/>
            </w:tcBorders>
            <w:shd w:val="clear" w:color="auto" w:fill="FFFFFF"/>
            <w:tcMar>
              <w:left w:w="80" w:type="dxa"/>
              <w:right w:w="80" w:type="dxa"/>
            </w:tcMar>
            <w:vAlign w:val="bottom"/>
          </w:tcPr>
          <w:p w:rsidR="00CB376B" w:rsidRDefault="00CB376B" w:rsidP="00725735">
            <w:pPr>
              <w:keepNext/>
              <w:adjustRightInd w:val="0"/>
              <w:spacing w:before="80" w:after="80"/>
              <w:jc w:val="right"/>
              <w:rPr>
                <w:rFonts w:ascii="Calibri" w:hAnsi="Calibri" w:cs="Calibri"/>
                <w:color w:val="000000"/>
              </w:rPr>
            </w:pPr>
            <w:r>
              <w:rPr>
                <w:rFonts w:ascii="Calibri" w:hAnsi="Calibri" w:cs="Calibri"/>
                <w:color w:val="000000"/>
              </w:rPr>
              <w:t>0.46%</w:t>
            </w:r>
          </w:p>
        </w:tc>
        <w:tc>
          <w:tcPr>
            <w:tcW w:w="868" w:type="dxa"/>
            <w:tcBorders>
              <w:top w:val="nil"/>
              <w:left w:val="nil"/>
              <w:bottom w:val="nil"/>
              <w:right w:val="nil"/>
            </w:tcBorders>
            <w:shd w:val="clear" w:color="auto" w:fill="FFFFFF"/>
            <w:tcMar>
              <w:left w:w="80" w:type="dxa"/>
              <w:right w:w="80" w:type="dxa"/>
            </w:tcMar>
            <w:vAlign w:val="bottom"/>
          </w:tcPr>
          <w:p w:rsidR="00CB376B" w:rsidRDefault="00CB376B" w:rsidP="00725735">
            <w:pPr>
              <w:keepNext/>
              <w:adjustRightInd w:val="0"/>
              <w:spacing w:before="80" w:after="80"/>
              <w:jc w:val="right"/>
              <w:rPr>
                <w:rFonts w:ascii="Calibri" w:hAnsi="Calibri" w:cs="Calibri"/>
                <w:color w:val="000000"/>
              </w:rPr>
            </w:pPr>
            <w:r>
              <w:rPr>
                <w:rFonts w:ascii="Calibri" w:hAnsi="Calibri" w:cs="Calibri"/>
                <w:color w:val="000000"/>
              </w:rPr>
              <w:t>24.5</w:t>
            </w:r>
          </w:p>
        </w:tc>
      </w:tr>
      <w:tr w:rsidR="00CB376B" w:rsidTr="00CB376B">
        <w:trPr>
          <w:cantSplit/>
        </w:trPr>
        <w:tc>
          <w:tcPr>
            <w:tcW w:w="1440" w:type="dxa"/>
            <w:vMerge/>
            <w:tcBorders>
              <w:top w:val="nil"/>
              <w:left w:val="nil"/>
              <w:bottom w:val="nil"/>
              <w:right w:val="nil"/>
            </w:tcBorders>
            <w:shd w:val="clear" w:color="auto" w:fill="FFFFFF"/>
            <w:tcMar>
              <w:left w:w="80" w:type="dxa"/>
              <w:right w:w="80" w:type="dxa"/>
            </w:tcMar>
          </w:tcPr>
          <w:p w:rsidR="00CB376B" w:rsidRDefault="00CB376B" w:rsidP="00725735">
            <w:pPr>
              <w:keepNext/>
              <w:adjustRightInd w:val="0"/>
            </w:pPr>
          </w:p>
        </w:tc>
        <w:tc>
          <w:tcPr>
            <w:tcW w:w="3376" w:type="dxa"/>
            <w:tcBorders>
              <w:top w:val="nil"/>
              <w:left w:val="nil"/>
              <w:bottom w:val="nil"/>
              <w:right w:val="nil"/>
            </w:tcBorders>
            <w:shd w:val="clear" w:color="auto" w:fill="FFFFFF"/>
            <w:tcMar>
              <w:left w:w="80" w:type="dxa"/>
              <w:right w:w="80" w:type="dxa"/>
            </w:tcMar>
          </w:tcPr>
          <w:p w:rsidR="00CB376B" w:rsidRDefault="00CB376B" w:rsidP="00725735">
            <w:pPr>
              <w:keepNext/>
              <w:adjustRightInd w:val="0"/>
              <w:spacing w:before="80" w:after="80"/>
              <w:rPr>
                <w:rFonts w:ascii="Calibri" w:hAnsi="Calibri" w:cs="Calibri"/>
                <w:b/>
                <w:bCs/>
                <w:color w:val="000000"/>
                <w:sz w:val="22"/>
                <w:szCs w:val="22"/>
              </w:rPr>
            </w:pPr>
            <w:r>
              <w:rPr>
                <w:rFonts w:ascii="Calibri" w:hAnsi="Calibri" w:cs="Calibri"/>
                <w:b/>
                <w:bCs/>
                <w:color w:val="000000"/>
                <w:sz w:val="22"/>
                <w:szCs w:val="22"/>
              </w:rPr>
              <w:t>Adjusted minus Unadjusted</w:t>
            </w:r>
          </w:p>
        </w:tc>
        <w:tc>
          <w:tcPr>
            <w:tcW w:w="1127" w:type="dxa"/>
            <w:tcBorders>
              <w:top w:val="nil"/>
              <w:left w:val="nil"/>
              <w:bottom w:val="nil"/>
              <w:right w:val="nil"/>
            </w:tcBorders>
            <w:shd w:val="clear" w:color="auto" w:fill="FFFFFF"/>
            <w:tcMar>
              <w:left w:w="80" w:type="dxa"/>
              <w:right w:w="80" w:type="dxa"/>
            </w:tcMar>
            <w:vAlign w:val="bottom"/>
          </w:tcPr>
          <w:p w:rsidR="00CB376B" w:rsidRDefault="00CB376B" w:rsidP="00725735">
            <w:pPr>
              <w:keepNext/>
              <w:adjustRightInd w:val="0"/>
              <w:spacing w:before="80" w:after="80"/>
              <w:jc w:val="right"/>
              <w:rPr>
                <w:rFonts w:ascii="Calibri" w:hAnsi="Calibri" w:cs="Calibri"/>
                <w:color w:val="000000"/>
              </w:rPr>
            </w:pPr>
            <w:r>
              <w:rPr>
                <w:rFonts w:ascii="Calibri" w:hAnsi="Calibri" w:cs="Calibri"/>
                <w:color w:val="000000"/>
              </w:rPr>
              <w:t>0.03%</w:t>
            </w:r>
          </w:p>
        </w:tc>
        <w:tc>
          <w:tcPr>
            <w:tcW w:w="868" w:type="dxa"/>
            <w:tcBorders>
              <w:top w:val="nil"/>
              <w:left w:val="nil"/>
              <w:bottom w:val="nil"/>
              <w:right w:val="nil"/>
            </w:tcBorders>
            <w:shd w:val="clear" w:color="auto" w:fill="FFFFFF"/>
            <w:tcMar>
              <w:left w:w="80" w:type="dxa"/>
              <w:right w:w="80" w:type="dxa"/>
            </w:tcMar>
            <w:vAlign w:val="bottom"/>
          </w:tcPr>
          <w:p w:rsidR="00CB376B" w:rsidRDefault="00CB376B" w:rsidP="00725735">
            <w:pPr>
              <w:keepNext/>
              <w:adjustRightInd w:val="0"/>
              <w:spacing w:before="80" w:after="80"/>
              <w:jc w:val="right"/>
              <w:rPr>
                <w:rFonts w:ascii="Calibri" w:hAnsi="Calibri" w:cs="Calibri"/>
                <w:color w:val="000000"/>
              </w:rPr>
            </w:pPr>
            <w:r>
              <w:rPr>
                <w:rFonts w:ascii="Calibri" w:hAnsi="Calibri" w:cs="Calibri"/>
                <w:color w:val="000000"/>
              </w:rPr>
              <w:t>4.1</w:t>
            </w:r>
          </w:p>
        </w:tc>
      </w:tr>
      <w:tr w:rsidR="00CB376B" w:rsidTr="00CB376B">
        <w:trPr>
          <w:cantSplit/>
        </w:trPr>
        <w:tc>
          <w:tcPr>
            <w:tcW w:w="1440" w:type="dxa"/>
            <w:vMerge/>
            <w:tcBorders>
              <w:top w:val="nil"/>
              <w:left w:val="nil"/>
              <w:bottom w:val="nil"/>
              <w:right w:val="nil"/>
            </w:tcBorders>
            <w:shd w:val="clear" w:color="auto" w:fill="FFFFFF"/>
            <w:tcMar>
              <w:left w:w="80" w:type="dxa"/>
              <w:right w:w="80" w:type="dxa"/>
            </w:tcMar>
          </w:tcPr>
          <w:p w:rsidR="00CB376B" w:rsidRDefault="00CB376B" w:rsidP="00725735">
            <w:pPr>
              <w:adjustRightInd w:val="0"/>
            </w:pPr>
          </w:p>
        </w:tc>
        <w:tc>
          <w:tcPr>
            <w:tcW w:w="3376" w:type="dxa"/>
            <w:tcBorders>
              <w:top w:val="nil"/>
              <w:left w:val="nil"/>
              <w:bottom w:val="nil"/>
              <w:right w:val="nil"/>
            </w:tcBorders>
            <w:shd w:val="clear" w:color="auto" w:fill="FFFFFF"/>
            <w:tcMar>
              <w:left w:w="80" w:type="dxa"/>
              <w:right w:w="80" w:type="dxa"/>
            </w:tcMar>
          </w:tcPr>
          <w:p w:rsidR="00CB376B" w:rsidRDefault="00CB376B" w:rsidP="00725735">
            <w:pPr>
              <w:adjustRightInd w:val="0"/>
              <w:spacing w:before="80" w:after="80"/>
              <w:rPr>
                <w:rFonts w:ascii="Calibri" w:hAnsi="Calibri" w:cs="Calibri"/>
                <w:b/>
                <w:bCs/>
                <w:color w:val="000000"/>
                <w:sz w:val="22"/>
                <w:szCs w:val="22"/>
              </w:rPr>
            </w:pPr>
            <w:r>
              <w:rPr>
                <w:rFonts w:ascii="Calibri" w:hAnsi="Calibri" w:cs="Calibri"/>
                <w:b/>
                <w:bCs/>
                <w:color w:val="000000"/>
                <w:sz w:val="22"/>
                <w:szCs w:val="22"/>
              </w:rPr>
              <w:t>Adjusted minus Quote midpoint</w:t>
            </w:r>
          </w:p>
        </w:tc>
        <w:tc>
          <w:tcPr>
            <w:tcW w:w="1127" w:type="dxa"/>
            <w:tcBorders>
              <w:top w:val="nil"/>
              <w:left w:val="nil"/>
              <w:bottom w:val="nil"/>
              <w:right w:val="nil"/>
            </w:tcBorders>
            <w:shd w:val="clear" w:color="auto" w:fill="FFFFFF"/>
            <w:tcMar>
              <w:left w:w="80" w:type="dxa"/>
              <w:right w:w="80" w:type="dxa"/>
            </w:tcMar>
            <w:vAlign w:val="bottom"/>
          </w:tcPr>
          <w:p w:rsidR="00CB376B" w:rsidRDefault="00CB376B" w:rsidP="00725735">
            <w:pPr>
              <w:adjustRightInd w:val="0"/>
              <w:spacing w:before="80" w:after="80"/>
              <w:jc w:val="right"/>
              <w:rPr>
                <w:rFonts w:ascii="Calibri" w:hAnsi="Calibri" w:cs="Calibri"/>
                <w:color w:val="000000"/>
              </w:rPr>
            </w:pPr>
            <w:r>
              <w:rPr>
                <w:rFonts w:ascii="Calibri" w:hAnsi="Calibri" w:cs="Calibri"/>
                <w:color w:val="000000"/>
              </w:rPr>
              <w:t>0.49%</w:t>
            </w:r>
          </w:p>
        </w:tc>
        <w:tc>
          <w:tcPr>
            <w:tcW w:w="868" w:type="dxa"/>
            <w:tcBorders>
              <w:top w:val="nil"/>
              <w:left w:val="nil"/>
              <w:bottom w:val="nil"/>
              <w:right w:val="nil"/>
            </w:tcBorders>
            <w:shd w:val="clear" w:color="auto" w:fill="FFFFFF"/>
            <w:tcMar>
              <w:left w:w="80" w:type="dxa"/>
              <w:right w:w="80" w:type="dxa"/>
            </w:tcMar>
            <w:vAlign w:val="bottom"/>
          </w:tcPr>
          <w:p w:rsidR="00CB376B" w:rsidRDefault="00CB376B" w:rsidP="00725735">
            <w:pPr>
              <w:adjustRightInd w:val="0"/>
              <w:spacing w:before="80" w:after="80"/>
              <w:jc w:val="right"/>
              <w:rPr>
                <w:rFonts w:ascii="Calibri" w:hAnsi="Calibri" w:cs="Calibri"/>
                <w:color w:val="000000"/>
              </w:rPr>
            </w:pPr>
            <w:r>
              <w:rPr>
                <w:rFonts w:ascii="Calibri" w:hAnsi="Calibri" w:cs="Calibri"/>
                <w:color w:val="000000"/>
              </w:rPr>
              <w:t>20.0</w:t>
            </w:r>
          </w:p>
        </w:tc>
      </w:tr>
      <w:tr w:rsidR="00CB376B" w:rsidTr="00CB376B">
        <w:trPr>
          <w:cantSplit/>
        </w:trPr>
        <w:tc>
          <w:tcPr>
            <w:tcW w:w="1440" w:type="dxa"/>
            <w:vMerge w:val="restart"/>
            <w:tcBorders>
              <w:top w:val="nil"/>
              <w:left w:val="nil"/>
              <w:bottom w:val="single" w:sz="6" w:space="0" w:color="000000"/>
              <w:right w:val="nil"/>
            </w:tcBorders>
            <w:shd w:val="clear" w:color="auto" w:fill="FFFFFF"/>
            <w:tcMar>
              <w:left w:w="80" w:type="dxa"/>
              <w:right w:w="80" w:type="dxa"/>
            </w:tcMar>
          </w:tcPr>
          <w:p w:rsidR="00CB376B" w:rsidRDefault="00CB376B" w:rsidP="00725735">
            <w:pPr>
              <w:keepNext/>
              <w:adjustRightInd w:val="0"/>
              <w:spacing w:before="80" w:after="80"/>
              <w:rPr>
                <w:rFonts w:ascii="Calibri" w:hAnsi="Calibri" w:cs="Calibri"/>
                <w:b/>
                <w:bCs/>
                <w:color w:val="000000"/>
                <w:sz w:val="22"/>
                <w:szCs w:val="22"/>
              </w:rPr>
            </w:pPr>
            <w:r>
              <w:rPr>
                <w:rFonts w:ascii="Calibri" w:hAnsi="Calibri" w:cs="Calibri"/>
                <w:b/>
                <w:bCs/>
                <w:color w:val="000000"/>
                <w:sz w:val="22"/>
                <w:szCs w:val="22"/>
              </w:rPr>
              <w:t>60</w:t>
            </w:r>
            <w:r w:rsidR="00D20E36">
              <w:rPr>
                <w:rFonts w:ascii="Calibri" w:hAnsi="Calibri" w:cs="Calibri"/>
                <w:b/>
                <w:bCs/>
                <w:color w:val="000000"/>
                <w:sz w:val="22"/>
                <w:szCs w:val="22"/>
              </w:rPr>
              <w:t>s</w:t>
            </w:r>
          </w:p>
        </w:tc>
        <w:tc>
          <w:tcPr>
            <w:tcW w:w="3376" w:type="dxa"/>
            <w:tcBorders>
              <w:top w:val="nil"/>
              <w:left w:val="nil"/>
              <w:bottom w:val="nil"/>
              <w:right w:val="nil"/>
            </w:tcBorders>
            <w:shd w:val="clear" w:color="auto" w:fill="FFFFFF"/>
            <w:tcMar>
              <w:left w:w="80" w:type="dxa"/>
              <w:right w:w="80" w:type="dxa"/>
            </w:tcMar>
          </w:tcPr>
          <w:p w:rsidR="00CB376B" w:rsidRDefault="00CB376B" w:rsidP="00725735">
            <w:pPr>
              <w:keepNext/>
              <w:adjustRightInd w:val="0"/>
              <w:spacing w:before="80" w:after="80"/>
              <w:rPr>
                <w:rFonts w:ascii="Calibri" w:hAnsi="Calibri" w:cs="Calibri"/>
                <w:b/>
                <w:bCs/>
                <w:color w:val="000000"/>
                <w:sz w:val="22"/>
                <w:szCs w:val="22"/>
              </w:rPr>
            </w:pPr>
            <w:r>
              <w:rPr>
                <w:rFonts w:ascii="Calibri" w:hAnsi="Calibri" w:cs="Calibri"/>
                <w:b/>
                <w:bCs/>
                <w:color w:val="000000"/>
                <w:sz w:val="22"/>
                <w:szCs w:val="22"/>
              </w:rPr>
              <w:t>Unadjusted minus Quote midpoint</w:t>
            </w:r>
          </w:p>
        </w:tc>
        <w:tc>
          <w:tcPr>
            <w:tcW w:w="1127" w:type="dxa"/>
            <w:tcBorders>
              <w:top w:val="nil"/>
              <w:left w:val="nil"/>
              <w:bottom w:val="nil"/>
              <w:right w:val="nil"/>
            </w:tcBorders>
            <w:shd w:val="clear" w:color="auto" w:fill="FFFFFF"/>
            <w:tcMar>
              <w:left w:w="80" w:type="dxa"/>
              <w:right w:w="80" w:type="dxa"/>
            </w:tcMar>
            <w:vAlign w:val="bottom"/>
          </w:tcPr>
          <w:p w:rsidR="00CB376B" w:rsidRDefault="00CB376B" w:rsidP="00725735">
            <w:pPr>
              <w:keepNext/>
              <w:adjustRightInd w:val="0"/>
              <w:spacing w:before="80" w:after="80"/>
              <w:jc w:val="right"/>
              <w:rPr>
                <w:rFonts w:ascii="Calibri" w:hAnsi="Calibri" w:cs="Calibri"/>
                <w:color w:val="000000"/>
              </w:rPr>
            </w:pPr>
            <w:r>
              <w:rPr>
                <w:rFonts w:ascii="Calibri" w:hAnsi="Calibri" w:cs="Calibri"/>
                <w:color w:val="000000"/>
              </w:rPr>
              <w:t>0.39%</w:t>
            </w:r>
          </w:p>
        </w:tc>
        <w:tc>
          <w:tcPr>
            <w:tcW w:w="868" w:type="dxa"/>
            <w:tcBorders>
              <w:top w:val="nil"/>
              <w:left w:val="nil"/>
              <w:bottom w:val="nil"/>
              <w:right w:val="nil"/>
            </w:tcBorders>
            <w:shd w:val="clear" w:color="auto" w:fill="FFFFFF"/>
            <w:tcMar>
              <w:left w:w="80" w:type="dxa"/>
              <w:right w:w="80" w:type="dxa"/>
            </w:tcMar>
            <w:vAlign w:val="bottom"/>
          </w:tcPr>
          <w:p w:rsidR="00CB376B" w:rsidRDefault="00CB376B" w:rsidP="00725735">
            <w:pPr>
              <w:keepNext/>
              <w:adjustRightInd w:val="0"/>
              <w:spacing w:before="80" w:after="80"/>
              <w:jc w:val="right"/>
              <w:rPr>
                <w:rFonts w:ascii="Calibri" w:hAnsi="Calibri" w:cs="Calibri"/>
                <w:color w:val="000000"/>
              </w:rPr>
            </w:pPr>
            <w:r>
              <w:rPr>
                <w:rFonts w:ascii="Calibri" w:hAnsi="Calibri" w:cs="Calibri"/>
                <w:color w:val="000000"/>
              </w:rPr>
              <w:t>18.0</w:t>
            </w:r>
          </w:p>
        </w:tc>
      </w:tr>
      <w:tr w:rsidR="00CB376B" w:rsidTr="00CB376B">
        <w:trPr>
          <w:cantSplit/>
        </w:trPr>
        <w:tc>
          <w:tcPr>
            <w:tcW w:w="1440" w:type="dxa"/>
            <w:vMerge/>
            <w:tcBorders>
              <w:top w:val="nil"/>
              <w:left w:val="nil"/>
              <w:bottom w:val="single" w:sz="6" w:space="0" w:color="000000"/>
              <w:right w:val="nil"/>
            </w:tcBorders>
            <w:shd w:val="clear" w:color="auto" w:fill="FFFFFF"/>
            <w:tcMar>
              <w:left w:w="80" w:type="dxa"/>
              <w:right w:w="80" w:type="dxa"/>
            </w:tcMar>
          </w:tcPr>
          <w:p w:rsidR="00CB376B" w:rsidRDefault="00CB376B" w:rsidP="00725735">
            <w:pPr>
              <w:keepNext/>
              <w:adjustRightInd w:val="0"/>
            </w:pPr>
          </w:p>
        </w:tc>
        <w:tc>
          <w:tcPr>
            <w:tcW w:w="3376" w:type="dxa"/>
            <w:tcBorders>
              <w:top w:val="nil"/>
              <w:left w:val="nil"/>
              <w:bottom w:val="nil"/>
              <w:right w:val="nil"/>
            </w:tcBorders>
            <w:shd w:val="clear" w:color="auto" w:fill="FFFFFF"/>
            <w:tcMar>
              <w:left w:w="80" w:type="dxa"/>
              <w:right w:w="80" w:type="dxa"/>
            </w:tcMar>
          </w:tcPr>
          <w:p w:rsidR="00CB376B" w:rsidRDefault="00CB376B" w:rsidP="00725735">
            <w:pPr>
              <w:keepNext/>
              <w:adjustRightInd w:val="0"/>
              <w:spacing w:before="80" w:after="80"/>
              <w:rPr>
                <w:rFonts w:ascii="Calibri" w:hAnsi="Calibri" w:cs="Calibri"/>
                <w:b/>
                <w:bCs/>
                <w:color w:val="000000"/>
                <w:sz w:val="22"/>
                <w:szCs w:val="22"/>
              </w:rPr>
            </w:pPr>
            <w:r>
              <w:rPr>
                <w:rFonts w:ascii="Calibri" w:hAnsi="Calibri" w:cs="Calibri"/>
                <w:b/>
                <w:bCs/>
                <w:color w:val="000000"/>
                <w:sz w:val="22"/>
                <w:szCs w:val="22"/>
              </w:rPr>
              <w:t>Adjusted minus Unadjusted</w:t>
            </w:r>
          </w:p>
        </w:tc>
        <w:tc>
          <w:tcPr>
            <w:tcW w:w="1127" w:type="dxa"/>
            <w:tcBorders>
              <w:top w:val="nil"/>
              <w:left w:val="nil"/>
              <w:bottom w:val="nil"/>
              <w:right w:val="nil"/>
            </w:tcBorders>
            <w:shd w:val="clear" w:color="auto" w:fill="FFFFFF"/>
            <w:tcMar>
              <w:left w:w="80" w:type="dxa"/>
              <w:right w:w="80" w:type="dxa"/>
            </w:tcMar>
            <w:vAlign w:val="bottom"/>
          </w:tcPr>
          <w:p w:rsidR="00CB376B" w:rsidRDefault="00CB376B" w:rsidP="00725735">
            <w:pPr>
              <w:keepNext/>
              <w:adjustRightInd w:val="0"/>
              <w:spacing w:before="80" w:after="80"/>
              <w:jc w:val="right"/>
              <w:rPr>
                <w:rFonts w:ascii="Calibri" w:hAnsi="Calibri" w:cs="Calibri"/>
                <w:color w:val="000000"/>
              </w:rPr>
            </w:pPr>
            <w:proofErr w:type="gramStart"/>
            <w:r>
              <w:rPr>
                <w:rFonts w:ascii="Calibri" w:hAnsi="Calibri" w:cs="Calibri"/>
                <w:color w:val="000000"/>
              </w:rPr>
              <w:t>( 0.04</w:t>
            </w:r>
            <w:proofErr w:type="gramEnd"/>
            <w:r>
              <w:rPr>
                <w:rFonts w:ascii="Calibri" w:hAnsi="Calibri" w:cs="Calibri"/>
                <w:color w:val="000000"/>
              </w:rPr>
              <w:t>%)</w:t>
            </w:r>
          </w:p>
        </w:tc>
        <w:tc>
          <w:tcPr>
            <w:tcW w:w="868" w:type="dxa"/>
            <w:tcBorders>
              <w:top w:val="nil"/>
              <w:left w:val="nil"/>
              <w:bottom w:val="nil"/>
              <w:right w:val="nil"/>
            </w:tcBorders>
            <w:shd w:val="clear" w:color="auto" w:fill="FFFFFF"/>
            <w:tcMar>
              <w:left w:w="80" w:type="dxa"/>
              <w:right w:w="80" w:type="dxa"/>
            </w:tcMar>
            <w:vAlign w:val="bottom"/>
          </w:tcPr>
          <w:p w:rsidR="00CB376B" w:rsidRDefault="00CB376B" w:rsidP="00725735">
            <w:pPr>
              <w:keepNext/>
              <w:adjustRightInd w:val="0"/>
              <w:spacing w:before="80" w:after="80"/>
              <w:jc w:val="right"/>
              <w:rPr>
                <w:rFonts w:ascii="Calibri" w:hAnsi="Calibri" w:cs="Calibri"/>
                <w:color w:val="000000"/>
              </w:rPr>
            </w:pPr>
            <w:r>
              <w:rPr>
                <w:rFonts w:ascii="Calibri" w:hAnsi="Calibri" w:cs="Calibri"/>
                <w:color w:val="000000"/>
              </w:rPr>
              <w:t>-4.2</w:t>
            </w:r>
          </w:p>
        </w:tc>
      </w:tr>
      <w:tr w:rsidR="00CB376B" w:rsidTr="00CB376B">
        <w:trPr>
          <w:cantSplit/>
        </w:trPr>
        <w:tc>
          <w:tcPr>
            <w:tcW w:w="1440" w:type="dxa"/>
            <w:vMerge/>
            <w:tcBorders>
              <w:top w:val="nil"/>
              <w:left w:val="nil"/>
              <w:bottom w:val="single" w:sz="6" w:space="0" w:color="000000"/>
              <w:right w:val="nil"/>
            </w:tcBorders>
            <w:shd w:val="clear" w:color="auto" w:fill="FFFFFF"/>
            <w:tcMar>
              <w:left w:w="80" w:type="dxa"/>
              <w:right w:w="80" w:type="dxa"/>
            </w:tcMar>
          </w:tcPr>
          <w:p w:rsidR="00CB376B" w:rsidRDefault="00CB376B" w:rsidP="00725735">
            <w:pPr>
              <w:adjustRightInd w:val="0"/>
            </w:pPr>
          </w:p>
        </w:tc>
        <w:tc>
          <w:tcPr>
            <w:tcW w:w="3376" w:type="dxa"/>
            <w:tcBorders>
              <w:top w:val="nil"/>
              <w:left w:val="nil"/>
              <w:bottom w:val="single" w:sz="6" w:space="0" w:color="000000"/>
              <w:right w:val="nil"/>
            </w:tcBorders>
            <w:shd w:val="clear" w:color="auto" w:fill="FFFFFF"/>
            <w:tcMar>
              <w:left w:w="80" w:type="dxa"/>
              <w:right w:w="80" w:type="dxa"/>
            </w:tcMar>
          </w:tcPr>
          <w:p w:rsidR="00CB376B" w:rsidRDefault="00CB376B" w:rsidP="00725735">
            <w:pPr>
              <w:adjustRightInd w:val="0"/>
              <w:spacing w:before="80" w:after="80"/>
              <w:rPr>
                <w:rFonts w:ascii="Calibri" w:hAnsi="Calibri" w:cs="Calibri"/>
                <w:b/>
                <w:bCs/>
                <w:color w:val="000000"/>
                <w:sz w:val="22"/>
                <w:szCs w:val="22"/>
              </w:rPr>
            </w:pPr>
            <w:r>
              <w:rPr>
                <w:rFonts w:ascii="Calibri" w:hAnsi="Calibri" w:cs="Calibri"/>
                <w:b/>
                <w:bCs/>
                <w:color w:val="000000"/>
                <w:sz w:val="22"/>
                <w:szCs w:val="22"/>
              </w:rPr>
              <w:t>Adjusted minus Quote midpoint</w:t>
            </w:r>
          </w:p>
        </w:tc>
        <w:tc>
          <w:tcPr>
            <w:tcW w:w="1127" w:type="dxa"/>
            <w:tcBorders>
              <w:top w:val="nil"/>
              <w:left w:val="nil"/>
              <w:bottom w:val="single" w:sz="6" w:space="0" w:color="000000"/>
              <w:right w:val="nil"/>
            </w:tcBorders>
            <w:shd w:val="clear" w:color="auto" w:fill="FFFFFF"/>
            <w:tcMar>
              <w:left w:w="80" w:type="dxa"/>
              <w:right w:w="80" w:type="dxa"/>
            </w:tcMar>
            <w:vAlign w:val="bottom"/>
          </w:tcPr>
          <w:p w:rsidR="00CB376B" w:rsidRDefault="00CB376B" w:rsidP="00725735">
            <w:pPr>
              <w:adjustRightInd w:val="0"/>
              <w:spacing w:before="80" w:after="80"/>
              <w:jc w:val="right"/>
              <w:rPr>
                <w:rFonts w:ascii="Calibri" w:hAnsi="Calibri" w:cs="Calibri"/>
                <w:color w:val="000000"/>
              </w:rPr>
            </w:pPr>
            <w:r>
              <w:rPr>
                <w:rFonts w:ascii="Calibri" w:hAnsi="Calibri" w:cs="Calibri"/>
                <w:color w:val="000000"/>
              </w:rPr>
              <w:t>0.35%</w:t>
            </w:r>
          </w:p>
        </w:tc>
        <w:tc>
          <w:tcPr>
            <w:tcW w:w="868" w:type="dxa"/>
            <w:tcBorders>
              <w:top w:val="nil"/>
              <w:left w:val="nil"/>
              <w:bottom w:val="single" w:sz="6" w:space="0" w:color="000000"/>
              <w:right w:val="nil"/>
            </w:tcBorders>
            <w:shd w:val="clear" w:color="auto" w:fill="FFFFFF"/>
            <w:tcMar>
              <w:left w:w="80" w:type="dxa"/>
              <w:right w:w="80" w:type="dxa"/>
            </w:tcMar>
            <w:vAlign w:val="bottom"/>
          </w:tcPr>
          <w:p w:rsidR="00CB376B" w:rsidRDefault="00CB376B" w:rsidP="00725735">
            <w:pPr>
              <w:adjustRightInd w:val="0"/>
              <w:spacing w:before="80" w:after="80"/>
              <w:jc w:val="right"/>
              <w:rPr>
                <w:rFonts w:ascii="Calibri" w:hAnsi="Calibri" w:cs="Calibri"/>
                <w:color w:val="000000"/>
              </w:rPr>
            </w:pPr>
            <w:r>
              <w:rPr>
                <w:rFonts w:ascii="Calibri" w:hAnsi="Calibri" w:cs="Calibri"/>
                <w:color w:val="000000"/>
              </w:rPr>
              <w:t>12.1</w:t>
            </w:r>
          </w:p>
        </w:tc>
      </w:tr>
    </w:tbl>
    <w:p w:rsidR="00424BA7" w:rsidRDefault="00424BA7" w:rsidP="007F6986"/>
    <w:p w:rsidR="00CB376B" w:rsidRDefault="00FB27EB" w:rsidP="00CB376B">
      <w:pPr>
        <w:rPr>
          <w:rFonts w:ascii="Calibri" w:hAnsi="Calibri" w:cs="Calibri"/>
          <w:b/>
          <w:bCs/>
          <w:color w:val="000000"/>
        </w:rPr>
      </w:pPr>
      <w:r>
        <w:rPr>
          <w:rFonts w:ascii="Calibri" w:hAnsi="Calibri" w:cs="Calibri"/>
          <w:b/>
          <w:bCs/>
          <w:color w:val="000000"/>
        </w:rPr>
        <w:br w:type="page"/>
      </w:r>
      <w:r w:rsidR="00CB376B" w:rsidRPr="0098544C">
        <w:rPr>
          <w:rFonts w:ascii="Calibri" w:hAnsi="Calibri" w:cs="Calibri"/>
          <w:b/>
          <w:bCs/>
          <w:color w:val="000000"/>
        </w:rPr>
        <w:t xml:space="preserve">Table </w:t>
      </w:r>
      <w:r w:rsidR="00CB376B">
        <w:rPr>
          <w:rFonts w:ascii="Calibri" w:hAnsi="Calibri" w:cs="Calibri"/>
          <w:b/>
          <w:bCs/>
          <w:color w:val="000000"/>
        </w:rPr>
        <w:t>3</w:t>
      </w:r>
      <w:r w:rsidR="00CB376B" w:rsidRPr="0098544C">
        <w:rPr>
          <w:rFonts w:ascii="Calibri" w:hAnsi="Calibri" w:cs="Calibri"/>
          <w:b/>
          <w:bCs/>
          <w:color w:val="000000"/>
        </w:rPr>
        <w:t xml:space="preserve">:  </w:t>
      </w:r>
      <w:r w:rsidR="00CB376B">
        <w:rPr>
          <w:rFonts w:ascii="Calibri" w:hAnsi="Calibri" w:cs="Calibri"/>
          <w:b/>
          <w:bCs/>
          <w:color w:val="000000"/>
        </w:rPr>
        <w:t>Average Return Serial Correlations and Variances</w:t>
      </w:r>
    </w:p>
    <w:p w:rsidR="00CB376B" w:rsidRDefault="00CB376B" w:rsidP="00CB376B">
      <w:pPr>
        <w:rPr>
          <w:rFonts w:ascii="Calibri" w:hAnsi="Calibri" w:cs="Calibri"/>
          <w:bCs/>
          <w:color w:val="000000"/>
        </w:rPr>
      </w:pPr>
    </w:p>
    <w:p w:rsidR="0098252C" w:rsidRDefault="00CB376B" w:rsidP="00CB376B">
      <w:pPr>
        <w:rPr>
          <w:rFonts w:ascii="Calibri" w:hAnsi="Calibri" w:cs="Calibri"/>
          <w:bCs/>
          <w:color w:val="000000"/>
        </w:rPr>
      </w:pPr>
      <w:r>
        <w:rPr>
          <w:rFonts w:ascii="Calibri" w:hAnsi="Calibri" w:cs="Calibri"/>
          <w:bCs/>
          <w:color w:val="000000"/>
        </w:rPr>
        <w:t>This table presents cross-sectional average return serial correlations</w:t>
      </w:r>
      <w:r w:rsidR="0098252C">
        <w:rPr>
          <w:rFonts w:ascii="Calibri" w:hAnsi="Calibri" w:cs="Calibri"/>
          <w:bCs/>
          <w:color w:val="000000"/>
        </w:rPr>
        <w:t xml:space="preserve"> and </w:t>
      </w:r>
      <w:r>
        <w:rPr>
          <w:rFonts w:ascii="Calibri" w:hAnsi="Calibri" w:cs="Calibri"/>
          <w:bCs/>
          <w:color w:val="000000"/>
        </w:rPr>
        <w:t xml:space="preserve">variances for the 81 stocks in the sample. </w:t>
      </w:r>
      <w:r w:rsidR="0098252C">
        <w:rPr>
          <w:rFonts w:ascii="Calibri" w:hAnsi="Calibri" w:cs="Calibri"/>
          <w:bCs/>
          <w:color w:val="000000"/>
        </w:rPr>
        <w:t xml:space="preserve"> Also reported </w:t>
      </w:r>
      <w:r w:rsidR="00D20E36">
        <w:rPr>
          <w:rFonts w:ascii="Calibri" w:hAnsi="Calibri" w:cs="Calibri"/>
          <w:bCs/>
          <w:color w:val="000000"/>
        </w:rPr>
        <w:t xml:space="preserve">are </w:t>
      </w:r>
      <w:r w:rsidR="0098252C">
        <w:rPr>
          <w:rFonts w:ascii="Calibri" w:hAnsi="Calibri" w:cs="Calibri"/>
          <w:bCs/>
          <w:color w:val="000000"/>
        </w:rPr>
        <w:t xml:space="preserve">the </w:t>
      </w:r>
      <w:r w:rsidR="0098252C" w:rsidRPr="0098252C">
        <w:rPr>
          <w:rFonts w:ascii="Calibri" w:hAnsi="Calibri" w:cs="Calibri"/>
          <w:bCs/>
          <w:i/>
          <w:color w:val="000000"/>
        </w:rPr>
        <w:t>t</w:t>
      </w:r>
      <w:r w:rsidR="0098252C">
        <w:rPr>
          <w:rFonts w:ascii="Calibri" w:hAnsi="Calibri" w:cs="Calibri"/>
          <w:bCs/>
          <w:color w:val="000000"/>
        </w:rPr>
        <w:t xml:space="preserve">-values for tests of whether the average return serial correlation is equal to zero.  All statistics are computed using average dollar volume weights.  The returns are measured over </w:t>
      </w:r>
      <w:r w:rsidR="00D20E36">
        <w:rPr>
          <w:rFonts w:ascii="Calibri" w:hAnsi="Calibri" w:cs="Calibri"/>
          <w:bCs/>
          <w:color w:val="000000"/>
        </w:rPr>
        <w:t xml:space="preserve">fixed numbers of quotes and over fixed transaction intervals measured in seconds. </w:t>
      </w:r>
    </w:p>
    <w:p w:rsidR="00424BA7" w:rsidRDefault="00424BA7" w:rsidP="00424BA7"/>
    <w:tbl>
      <w:tblPr>
        <w:tblW w:w="9360" w:type="dxa"/>
        <w:tblInd w:w="80" w:type="dxa"/>
        <w:tblLayout w:type="fixed"/>
        <w:tblCellMar>
          <w:left w:w="0" w:type="dxa"/>
          <w:right w:w="0" w:type="dxa"/>
        </w:tblCellMar>
        <w:tblLook w:val="0000" w:firstRow="0" w:lastRow="0" w:firstColumn="0" w:lastColumn="0" w:noHBand="0" w:noVBand="0"/>
      </w:tblPr>
      <w:tblGrid>
        <w:gridCol w:w="810"/>
        <w:gridCol w:w="1530"/>
        <w:gridCol w:w="900"/>
        <w:gridCol w:w="1080"/>
        <w:gridCol w:w="1080"/>
        <w:gridCol w:w="900"/>
        <w:gridCol w:w="180"/>
        <w:gridCol w:w="990"/>
        <w:gridCol w:w="1080"/>
        <w:gridCol w:w="810"/>
      </w:tblGrid>
      <w:tr w:rsidR="000821EB" w:rsidRPr="00FB27EB" w:rsidTr="000323A3">
        <w:trPr>
          <w:cantSplit/>
          <w:tblHeader/>
        </w:trPr>
        <w:tc>
          <w:tcPr>
            <w:tcW w:w="810" w:type="dxa"/>
            <w:tcBorders>
              <w:top w:val="single" w:sz="6" w:space="0" w:color="000000"/>
              <w:left w:val="nil"/>
              <w:right w:val="nil"/>
            </w:tcBorders>
            <w:shd w:val="clear" w:color="auto" w:fill="FFFFFF"/>
            <w:tcMar>
              <w:left w:w="80" w:type="dxa"/>
              <w:right w:w="80" w:type="dxa"/>
            </w:tcMar>
            <w:vAlign w:val="bottom"/>
          </w:tcPr>
          <w:p w:rsidR="000821EB" w:rsidRPr="00FB27EB" w:rsidRDefault="000821EB" w:rsidP="00CB376B">
            <w:pPr>
              <w:keepNext/>
              <w:autoSpaceDE w:val="0"/>
              <w:autoSpaceDN w:val="0"/>
              <w:adjustRightInd w:val="0"/>
              <w:spacing w:before="80" w:after="80"/>
              <w:jc w:val="center"/>
              <w:rPr>
                <w:rFonts w:ascii="Calibri" w:hAnsi="Calibri" w:cs="Calibri"/>
                <w:b/>
                <w:bCs/>
                <w:color w:val="000000"/>
                <w:sz w:val="20"/>
                <w:szCs w:val="20"/>
              </w:rPr>
            </w:pPr>
          </w:p>
        </w:tc>
        <w:tc>
          <w:tcPr>
            <w:tcW w:w="1530" w:type="dxa"/>
            <w:tcBorders>
              <w:top w:val="single" w:sz="6" w:space="0" w:color="000000"/>
              <w:left w:val="nil"/>
              <w:right w:val="nil"/>
            </w:tcBorders>
            <w:shd w:val="clear" w:color="auto" w:fill="FFFFFF"/>
            <w:vAlign w:val="bottom"/>
          </w:tcPr>
          <w:p w:rsidR="000821EB" w:rsidRPr="00FB27EB" w:rsidRDefault="000821EB" w:rsidP="00CB376B">
            <w:pPr>
              <w:keepNext/>
              <w:autoSpaceDE w:val="0"/>
              <w:autoSpaceDN w:val="0"/>
              <w:adjustRightInd w:val="0"/>
              <w:spacing w:before="80" w:after="80"/>
              <w:jc w:val="center"/>
              <w:rPr>
                <w:rFonts w:ascii="Calibri" w:hAnsi="Calibri" w:cs="Calibri"/>
                <w:b/>
                <w:bCs/>
                <w:color w:val="000000"/>
                <w:sz w:val="20"/>
                <w:szCs w:val="20"/>
              </w:rPr>
            </w:pPr>
          </w:p>
        </w:tc>
        <w:tc>
          <w:tcPr>
            <w:tcW w:w="900" w:type="dxa"/>
            <w:tcBorders>
              <w:top w:val="single" w:sz="6" w:space="0" w:color="000000"/>
              <w:left w:val="nil"/>
              <w:right w:val="nil"/>
            </w:tcBorders>
            <w:shd w:val="clear" w:color="auto" w:fill="FFFFFF"/>
            <w:vAlign w:val="bottom"/>
          </w:tcPr>
          <w:p w:rsidR="000821EB" w:rsidRPr="00FB27EB" w:rsidRDefault="000821EB" w:rsidP="00CB376B">
            <w:pPr>
              <w:keepNext/>
              <w:autoSpaceDE w:val="0"/>
              <w:autoSpaceDN w:val="0"/>
              <w:adjustRightInd w:val="0"/>
              <w:spacing w:before="80" w:after="80"/>
              <w:jc w:val="center"/>
              <w:rPr>
                <w:rFonts w:ascii="Calibri" w:hAnsi="Calibri" w:cs="Calibri"/>
                <w:b/>
                <w:bCs/>
                <w:color w:val="000000"/>
                <w:sz w:val="20"/>
                <w:szCs w:val="20"/>
              </w:rPr>
            </w:pPr>
          </w:p>
        </w:tc>
        <w:tc>
          <w:tcPr>
            <w:tcW w:w="3060" w:type="dxa"/>
            <w:gridSpan w:val="3"/>
            <w:tcBorders>
              <w:top w:val="single" w:sz="6" w:space="0" w:color="000000"/>
              <w:left w:val="nil"/>
              <w:bottom w:val="single" w:sz="6" w:space="0" w:color="000000"/>
              <w:right w:val="nil"/>
            </w:tcBorders>
            <w:shd w:val="clear" w:color="auto" w:fill="FFFFFF"/>
            <w:tcMar>
              <w:left w:w="80" w:type="dxa"/>
              <w:right w:w="80" w:type="dxa"/>
            </w:tcMar>
            <w:vAlign w:val="bottom"/>
          </w:tcPr>
          <w:p w:rsidR="000821EB" w:rsidRPr="00FB27EB" w:rsidRDefault="000821EB" w:rsidP="00CB376B">
            <w:pPr>
              <w:keepNext/>
              <w:autoSpaceDE w:val="0"/>
              <w:autoSpaceDN w:val="0"/>
              <w:adjustRightInd w:val="0"/>
              <w:spacing w:before="80" w:after="80"/>
              <w:jc w:val="center"/>
              <w:rPr>
                <w:rFonts w:ascii="Calibri" w:hAnsi="Calibri" w:cs="Calibri"/>
                <w:b/>
                <w:bCs/>
                <w:color w:val="000000"/>
                <w:sz w:val="20"/>
                <w:szCs w:val="20"/>
              </w:rPr>
            </w:pPr>
            <w:r w:rsidRPr="00FB27EB">
              <w:rPr>
                <w:rFonts w:ascii="Calibri" w:hAnsi="Calibri" w:cs="Calibri"/>
                <w:b/>
                <w:bCs/>
                <w:color w:val="000000"/>
                <w:sz w:val="20"/>
                <w:szCs w:val="20"/>
              </w:rPr>
              <w:t>Transaction Intervals</w:t>
            </w:r>
          </w:p>
        </w:tc>
        <w:tc>
          <w:tcPr>
            <w:tcW w:w="180" w:type="dxa"/>
            <w:tcBorders>
              <w:top w:val="single" w:sz="6" w:space="0" w:color="000000"/>
              <w:left w:val="nil"/>
              <w:right w:val="nil"/>
            </w:tcBorders>
            <w:shd w:val="clear" w:color="auto" w:fill="FFFFFF"/>
          </w:tcPr>
          <w:p w:rsidR="000821EB" w:rsidRPr="00FB27EB" w:rsidRDefault="000821EB" w:rsidP="00725735">
            <w:pPr>
              <w:keepNext/>
              <w:adjustRightInd w:val="0"/>
              <w:spacing w:before="80" w:after="80"/>
              <w:jc w:val="center"/>
              <w:rPr>
                <w:rFonts w:ascii="Calibri" w:hAnsi="Calibri" w:cs="Calibri"/>
                <w:b/>
                <w:bCs/>
                <w:color w:val="000000"/>
                <w:sz w:val="20"/>
                <w:szCs w:val="20"/>
              </w:rPr>
            </w:pPr>
          </w:p>
        </w:tc>
        <w:tc>
          <w:tcPr>
            <w:tcW w:w="2880" w:type="dxa"/>
            <w:gridSpan w:val="3"/>
            <w:tcBorders>
              <w:top w:val="single" w:sz="6" w:space="0" w:color="000000"/>
              <w:left w:val="nil"/>
              <w:bottom w:val="single" w:sz="6" w:space="0" w:color="000000"/>
              <w:right w:val="nil"/>
            </w:tcBorders>
            <w:shd w:val="clear" w:color="auto" w:fill="FFFFFF"/>
            <w:vAlign w:val="bottom"/>
          </w:tcPr>
          <w:p w:rsidR="000821EB" w:rsidRPr="00FB27EB" w:rsidRDefault="00CA3548" w:rsidP="00725735">
            <w:pPr>
              <w:keepNext/>
              <w:adjustRightInd w:val="0"/>
              <w:spacing w:before="80" w:after="80"/>
              <w:jc w:val="center"/>
              <w:rPr>
                <w:rFonts w:ascii="Calibri" w:hAnsi="Calibri" w:cs="Calibri"/>
                <w:b/>
                <w:bCs/>
                <w:color w:val="000000"/>
                <w:sz w:val="20"/>
                <w:szCs w:val="20"/>
              </w:rPr>
            </w:pPr>
            <w:r w:rsidRPr="00FB27EB">
              <w:rPr>
                <w:rFonts w:ascii="Calibri" w:hAnsi="Calibri" w:cs="Calibri"/>
                <w:b/>
                <w:bCs/>
                <w:color w:val="000000"/>
                <w:sz w:val="20"/>
                <w:szCs w:val="20"/>
              </w:rPr>
              <w:t>Chronological Intervals</w:t>
            </w:r>
          </w:p>
        </w:tc>
      </w:tr>
      <w:tr w:rsidR="00FB27EB" w:rsidRPr="00FB27EB" w:rsidTr="000323A3">
        <w:trPr>
          <w:cantSplit/>
          <w:tblHeader/>
        </w:trPr>
        <w:tc>
          <w:tcPr>
            <w:tcW w:w="810" w:type="dxa"/>
            <w:tcBorders>
              <w:left w:val="nil"/>
              <w:bottom w:val="single" w:sz="6" w:space="0" w:color="000000"/>
              <w:right w:val="nil"/>
            </w:tcBorders>
            <w:shd w:val="clear" w:color="auto" w:fill="FFFFFF"/>
            <w:tcMar>
              <w:left w:w="80" w:type="dxa"/>
              <w:right w:w="80" w:type="dxa"/>
            </w:tcMar>
            <w:vAlign w:val="bottom"/>
          </w:tcPr>
          <w:p w:rsidR="000821EB" w:rsidRPr="00CB376B" w:rsidRDefault="000821EB" w:rsidP="00CB376B">
            <w:pPr>
              <w:keepNext/>
              <w:autoSpaceDE w:val="0"/>
              <w:autoSpaceDN w:val="0"/>
              <w:adjustRightInd w:val="0"/>
              <w:spacing w:before="80" w:after="80"/>
              <w:jc w:val="center"/>
              <w:rPr>
                <w:rFonts w:ascii="Calibri" w:hAnsi="Calibri" w:cs="Calibri"/>
                <w:b/>
                <w:bCs/>
                <w:color w:val="000000"/>
                <w:sz w:val="20"/>
                <w:szCs w:val="20"/>
              </w:rPr>
            </w:pPr>
            <w:r w:rsidRPr="00FB27EB">
              <w:rPr>
                <w:rFonts w:ascii="Calibri" w:hAnsi="Calibri" w:cs="Calibri"/>
                <w:b/>
                <w:bCs/>
                <w:color w:val="000000"/>
                <w:sz w:val="20"/>
                <w:szCs w:val="20"/>
              </w:rPr>
              <w:t>Quote</w:t>
            </w:r>
            <w:r w:rsidRPr="00CB376B">
              <w:rPr>
                <w:rFonts w:ascii="Calibri" w:hAnsi="Calibri" w:cs="Calibri"/>
                <w:b/>
                <w:bCs/>
                <w:color w:val="000000"/>
                <w:sz w:val="20"/>
                <w:szCs w:val="20"/>
              </w:rPr>
              <w:t xml:space="preserve"> interval</w:t>
            </w:r>
          </w:p>
        </w:tc>
        <w:tc>
          <w:tcPr>
            <w:tcW w:w="1530" w:type="dxa"/>
            <w:tcBorders>
              <w:left w:val="nil"/>
              <w:bottom w:val="single" w:sz="6" w:space="0" w:color="000000"/>
              <w:right w:val="nil"/>
            </w:tcBorders>
            <w:shd w:val="clear" w:color="auto" w:fill="FFFFFF"/>
            <w:vAlign w:val="bottom"/>
          </w:tcPr>
          <w:p w:rsidR="000821EB" w:rsidRPr="00FB27EB" w:rsidRDefault="000821EB" w:rsidP="00CB376B">
            <w:pPr>
              <w:keepNext/>
              <w:autoSpaceDE w:val="0"/>
              <w:autoSpaceDN w:val="0"/>
              <w:adjustRightInd w:val="0"/>
              <w:spacing w:before="80" w:after="80"/>
              <w:jc w:val="center"/>
              <w:rPr>
                <w:rFonts w:ascii="Calibri" w:hAnsi="Calibri" w:cs="Calibri"/>
                <w:b/>
                <w:bCs/>
                <w:color w:val="000000"/>
                <w:sz w:val="20"/>
                <w:szCs w:val="20"/>
              </w:rPr>
            </w:pPr>
            <w:r w:rsidRPr="00CB376B">
              <w:rPr>
                <w:rFonts w:ascii="Calibri" w:hAnsi="Calibri" w:cs="Calibri"/>
                <w:b/>
                <w:bCs/>
                <w:color w:val="000000"/>
                <w:sz w:val="20"/>
                <w:szCs w:val="20"/>
              </w:rPr>
              <w:t>Return estimate type</w:t>
            </w:r>
          </w:p>
        </w:tc>
        <w:tc>
          <w:tcPr>
            <w:tcW w:w="900" w:type="dxa"/>
            <w:tcBorders>
              <w:left w:val="nil"/>
              <w:bottom w:val="single" w:sz="6" w:space="0" w:color="000000"/>
              <w:right w:val="nil"/>
            </w:tcBorders>
            <w:shd w:val="clear" w:color="auto" w:fill="FFFFFF"/>
            <w:vAlign w:val="bottom"/>
          </w:tcPr>
          <w:p w:rsidR="000821EB" w:rsidRPr="00CB376B" w:rsidRDefault="000821EB" w:rsidP="00CB376B">
            <w:pPr>
              <w:keepNext/>
              <w:autoSpaceDE w:val="0"/>
              <w:autoSpaceDN w:val="0"/>
              <w:adjustRightInd w:val="0"/>
              <w:spacing w:before="80" w:after="80"/>
              <w:jc w:val="center"/>
              <w:rPr>
                <w:rFonts w:ascii="Calibri" w:hAnsi="Calibri" w:cs="Calibri"/>
                <w:b/>
                <w:bCs/>
                <w:color w:val="000000"/>
                <w:sz w:val="20"/>
                <w:szCs w:val="20"/>
              </w:rPr>
            </w:pPr>
            <w:r w:rsidRPr="00CB376B">
              <w:rPr>
                <w:rFonts w:ascii="Calibri" w:hAnsi="Calibri" w:cs="Calibri"/>
                <w:b/>
                <w:bCs/>
                <w:color w:val="000000"/>
                <w:sz w:val="20"/>
                <w:szCs w:val="20"/>
              </w:rPr>
              <w:t>Assumed maker-taker fee</w:t>
            </w:r>
          </w:p>
        </w:tc>
        <w:tc>
          <w:tcPr>
            <w:tcW w:w="1080" w:type="dxa"/>
            <w:tcBorders>
              <w:top w:val="single" w:sz="6" w:space="0" w:color="000000"/>
              <w:left w:val="nil"/>
              <w:bottom w:val="single" w:sz="6" w:space="0" w:color="000000"/>
              <w:right w:val="nil"/>
            </w:tcBorders>
            <w:shd w:val="clear" w:color="auto" w:fill="FFFFFF"/>
            <w:tcMar>
              <w:left w:w="80" w:type="dxa"/>
              <w:right w:w="80" w:type="dxa"/>
            </w:tcMar>
            <w:vAlign w:val="bottom"/>
          </w:tcPr>
          <w:p w:rsidR="000821EB" w:rsidRPr="00CB376B" w:rsidRDefault="000821EB" w:rsidP="00CB376B">
            <w:pPr>
              <w:keepNext/>
              <w:autoSpaceDE w:val="0"/>
              <w:autoSpaceDN w:val="0"/>
              <w:adjustRightInd w:val="0"/>
              <w:spacing w:before="80" w:after="80"/>
              <w:jc w:val="center"/>
              <w:rPr>
                <w:rFonts w:ascii="Calibri" w:hAnsi="Calibri" w:cs="Calibri"/>
                <w:b/>
                <w:bCs/>
                <w:color w:val="000000"/>
                <w:sz w:val="20"/>
                <w:szCs w:val="20"/>
              </w:rPr>
            </w:pPr>
            <w:r w:rsidRPr="00CB376B">
              <w:rPr>
                <w:rFonts w:ascii="Calibri" w:hAnsi="Calibri" w:cs="Calibri"/>
                <w:b/>
                <w:bCs/>
                <w:color w:val="000000"/>
                <w:sz w:val="20"/>
                <w:szCs w:val="20"/>
              </w:rPr>
              <w:t>Average serial correlation coefficient</w:t>
            </w:r>
          </w:p>
        </w:tc>
        <w:tc>
          <w:tcPr>
            <w:tcW w:w="1080" w:type="dxa"/>
            <w:tcBorders>
              <w:top w:val="single" w:sz="6" w:space="0" w:color="000000"/>
              <w:left w:val="nil"/>
              <w:bottom w:val="single" w:sz="6" w:space="0" w:color="000000"/>
              <w:right w:val="nil"/>
            </w:tcBorders>
            <w:shd w:val="clear" w:color="auto" w:fill="FFFFFF"/>
            <w:tcMar>
              <w:left w:w="80" w:type="dxa"/>
              <w:right w:w="80" w:type="dxa"/>
            </w:tcMar>
            <w:vAlign w:val="bottom"/>
          </w:tcPr>
          <w:p w:rsidR="000821EB" w:rsidRPr="00CB376B" w:rsidRDefault="000821EB" w:rsidP="00CB376B">
            <w:pPr>
              <w:keepNext/>
              <w:autoSpaceDE w:val="0"/>
              <w:autoSpaceDN w:val="0"/>
              <w:adjustRightInd w:val="0"/>
              <w:spacing w:before="80" w:after="80"/>
              <w:jc w:val="center"/>
              <w:rPr>
                <w:rFonts w:ascii="Calibri" w:hAnsi="Calibri" w:cs="Calibri"/>
                <w:b/>
                <w:bCs/>
                <w:color w:val="000000"/>
                <w:sz w:val="20"/>
                <w:szCs w:val="20"/>
              </w:rPr>
            </w:pPr>
            <w:r w:rsidRPr="00CB376B">
              <w:rPr>
                <w:rFonts w:ascii="Calibri" w:hAnsi="Calibri" w:cs="Calibri"/>
                <w:b/>
                <w:bCs/>
                <w:i/>
                <w:color w:val="000000"/>
                <w:sz w:val="20"/>
                <w:szCs w:val="20"/>
              </w:rPr>
              <w:t>t</w:t>
            </w:r>
            <w:r w:rsidRPr="00CB376B">
              <w:rPr>
                <w:rFonts w:ascii="Calibri" w:hAnsi="Calibri" w:cs="Calibri"/>
                <w:b/>
                <w:bCs/>
                <w:color w:val="000000"/>
                <w:sz w:val="20"/>
                <w:szCs w:val="20"/>
              </w:rPr>
              <w:t>-value for serial correlation coefficient</w:t>
            </w:r>
          </w:p>
        </w:tc>
        <w:tc>
          <w:tcPr>
            <w:tcW w:w="900" w:type="dxa"/>
            <w:tcBorders>
              <w:top w:val="single" w:sz="6" w:space="0" w:color="000000"/>
              <w:left w:val="nil"/>
              <w:bottom w:val="single" w:sz="6" w:space="0" w:color="000000"/>
              <w:right w:val="nil"/>
            </w:tcBorders>
            <w:shd w:val="clear" w:color="auto" w:fill="FFFFFF"/>
            <w:tcMar>
              <w:left w:w="80" w:type="dxa"/>
              <w:right w:w="80" w:type="dxa"/>
            </w:tcMar>
            <w:vAlign w:val="bottom"/>
          </w:tcPr>
          <w:p w:rsidR="000821EB" w:rsidRPr="00CB376B" w:rsidRDefault="000821EB" w:rsidP="00CB376B">
            <w:pPr>
              <w:keepNext/>
              <w:autoSpaceDE w:val="0"/>
              <w:autoSpaceDN w:val="0"/>
              <w:adjustRightInd w:val="0"/>
              <w:spacing w:before="80" w:after="80"/>
              <w:jc w:val="center"/>
              <w:rPr>
                <w:rFonts w:ascii="Calibri" w:hAnsi="Calibri" w:cs="Calibri"/>
                <w:b/>
                <w:bCs/>
                <w:color w:val="000000"/>
                <w:sz w:val="20"/>
                <w:szCs w:val="20"/>
                <w:vertAlign w:val="superscript"/>
              </w:rPr>
            </w:pPr>
            <w:r w:rsidRPr="00FB27EB">
              <w:rPr>
                <w:rFonts w:ascii="Calibri" w:hAnsi="Calibri" w:cs="Calibri"/>
                <w:b/>
                <w:bCs/>
                <w:color w:val="000000"/>
                <w:sz w:val="20"/>
                <w:szCs w:val="20"/>
              </w:rPr>
              <w:t>Average return variance in BP</w:t>
            </w:r>
            <w:r w:rsidRPr="00FB27EB">
              <w:rPr>
                <w:rFonts w:ascii="Calibri" w:hAnsi="Calibri" w:cs="Calibri"/>
                <w:b/>
                <w:bCs/>
                <w:color w:val="000000"/>
                <w:sz w:val="20"/>
                <w:szCs w:val="20"/>
                <w:vertAlign w:val="superscript"/>
              </w:rPr>
              <w:t>2</w:t>
            </w:r>
          </w:p>
        </w:tc>
        <w:tc>
          <w:tcPr>
            <w:tcW w:w="180" w:type="dxa"/>
            <w:tcBorders>
              <w:left w:val="nil"/>
              <w:bottom w:val="single" w:sz="6" w:space="0" w:color="000000"/>
              <w:right w:val="nil"/>
            </w:tcBorders>
            <w:shd w:val="clear" w:color="auto" w:fill="FFFFFF"/>
          </w:tcPr>
          <w:p w:rsidR="000821EB" w:rsidRPr="00FB27EB" w:rsidRDefault="000821EB" w:rsidP="00725735">
            <w:pPr>
              <w:keepNext/>
              <w:adjustRightInd w:val="0"/>
              <w:spacing w:before="80" w:after="80"/>
              <w:jc w:val="center"/>
              <w:rPr>
                <w:rFonts w:ascii="Calibri" w:hAnsi="Calibri" w:cs="Calibri"/>
                <w:b/>
                <w:bCs/>
                <w:color w:val="000000"/>
                <w:sz w:val="20"/>
                <w:szCs w:val="20"/>
              </w:rPr>
            </w:pPr>
          </w:p>
        </w:tc>
        <w:tc>
          <w:tcPr>
            <w:tcW w:w="990" w:type="dxa"/>
            <w:tcBorders>
              <w:top w:val="single" w:sz="6" w:space="0" w:color="000000"/>
              <w:left w:val="nil"/>
              <w:bottom w:val="single" w:sz="6" w:space="0" w:color="000000"/>
              <w:right w:val="nil"/>
            </w:tcBorders>
            <w:shd w:val="clear" w:color="auto" w:fill="FFFFFF"/>
            <w:vAlign w:val="bottom"/>
          </w:tcPr>
          <w:p w:rsidR="000821EB" w:rsidRPr="00FB27EB" w:rsidRDefault="000821EB" w:rsidP="00725735">
            <w:pPr>
              <w:keepNext/>
              <w:adjustRightInd w:val="0"/>
              <w:spacing w:before="80" w:after="80"/>
              <w:jc w:val="center"/>
              <w:rPr>
                <w:rFonts w:ascii="Calibri" w:hAnsi="Calibri" w:cs="Calibri"/>
                <w:b/>
                <w:bCs/>
                <w:color w:val="000000"/>
                <w:sz w:val="20"/>
                <w:szCs w:val="20"/>
              </w:rPr>
            </w:pPr>
            <w:r w:rsidRPr="00FB27EB">
              <w:rPr>
                <w:rFonts w:ascii="Calibri" w:hAnsi="Calibri" w:cs="Calibri"/>
                <w:b/>
                <w:bCs/>
                <w:color w:val="000000"/>
                <w:sz w:val="20"/>
                <w:szCs w:val="20"/>
              </w:rPr>
              <w:t>Average serial correlation coefficient</w:t>
            </w:r>
          </w:p>
        </w:tc>
        <w:tc>
          <w:tcPr>
            <w:tcW w:w="1080" w:type="dxa"/>
            <w:tcBorders>
              <w:top w:val="single" w:sz="6" w:space="0" w:color="000000"/>
              <w:left w:val="nil"/>
              <w:bottom w:val="single" w:sz="6" w:space="0" w:color="000000"/>
              <w:right w:val="nil"/>
            </w:tcBorders>
            <w:shd w:val="clear" w:color="auto" w:fill="FFFFFF"/>
            <w:vAlign w:val="bottom"/>
          </w:tcPr>
          <w:p w:rsidR="000821EB" w:rsidRPr="00FB27EB" w:rsidRDefault="000821EB" w:rsidP="00725735">
            <w:pPr>
              <w:keepNext/>
              <w:adjustRightInd w:val="0"/>
              <w:spacing w:before="80" w:after="80"/>
              <w:jc w:val="center"/>
              <w:rPr>
                <w:rFonts w:ascii="Calibri" w:hAnsi="Calibri" w:cs="Calibri"/>
                <w:b/>
                <w:bCs/>
                <w:color w:val="000000"/>
                <w:sz w:val="20"/>
                <w:szCs w:val="20"/>
              </w:rPr>
            </w:pPr>
            <w:r w:rsidRPr="00FB27EB">
              <w:rPr>
                <w:rFonts w:ascii="Calibri" w:hAnsi="Calibri" w:cs="Calibri"/>
                <w:b/>
                <w:bCs/>
                <w:color w:val="000000"/>
                <w:sz w:val="20"/>
                <w:szCs w:val="20"/>
              </w:rPr>
              <w:t>t-value for serial correlation coefficient</w:t>
            </w:r>
          </w:p>
        </w:tc>
        <w:tc>
          <w:tcPr>
            <w:tcW w:w="810" w:type="dxa"/>
            <w:tcBorders>
              <w:top w:val="single" w:sz="6" w:space="0" w:color="000000"/>
              <w:left w:val="nil"/>
              <w:bottom w:val="single" w:sz="6" w:space="0" w:color="000000"/>
              <w:right w:val="nil"/>
            </w:tcBorders>
            <w:shd w:val="clear" w:color="auto" w:fill="FFFFFF"/>
            <w:vAlign w:val="bottom"/>
          </w:tcPr>
          <w:p w:rsidR="000821EB" w:rsidRPr="00CB376B" w:rsidRDefault="000821EB" w:rsidP="00725735">
            <w:pPr>
              <w:keepNext/>
              <w:autoSpaceDE w:val="0"/>
              <w:autoSpaceDN w:val="0"/>
              <w:adjustRightInd w:val="0"/>
              <w:spacing w:before="80" w:after="80"/>
              <w:jc w:val="center"/>
              <w:rPr>
                <w:rFonts w:ascii="Calibri" w:hAnsi="Calibri" w:cs="Calibri"/>
                <w:b/>
                <w:bCs/>
                <w:color w:val="000000"/>
                <w:sz w:val="20"/>
                <w:szCs w:val="20"/>
                <w:vertAlign w:val="superscript"/>
              </w:rPr>
            </w:pPr>
            <w:r w:rsidRPr="00FB27EB">
              <w:rPr>
                <w:rFonts w:ascii="Calibri" w:hAnsi="Calibri" w:cs="Calibri"/>
                <w:b/>
                <w:bCs/>
                <w:color w:val="000000"/>
                <w:sz w:val="20"/>
                <w:szCs w:val="20"/>
              </w:rPr>
              <w:t>Average return variance in BP</w:t>
            </w:r>
            <w:r w:rsidRPr="00FB27EB">
              <w:rPr>
                <w:rFonts w:ascii="Calibri" w:hAnsi="Calibri" w:cs="Calibri"/>
                <w:b/>
                <w:bCs/>
                <w:color w:val="000000"/>
                <w:sz w:val="20"/>
                <w:szCs w:val="20"/>
                <w:vertAlign w:val="superscript"/>
              </w:rPr>
              <w:t>2</w:t>
            </w:r>
          </w:p>
        </w:tc>
      </w:tr>
      <w:tr w:rsidR="00FB27EB" w:rsidRPr="00FB27EB" w:rsidTr="000323A3">
        <w:trPr>
          <w:cantSplit/>
        </w:trPr>
        <w:tc>
          <w:tcPr>
            <w:tcW w:w="810" w:type="dxa"/>
            <w:vMerge w:val="restart"/>
            <w:tcBorders>
              <w:top w:val="nil"/>
              <w:left w:val="nil"/>
              <w:bottom w:val="nil"/>
              <w:right w:val="nil"/>
            </w:tcBorders>
            <w:shd w:val="clear" w:color="auto" w:fill="FFFFFF"/>
            <w:tcMar>
              <w:left w:w="80" w:type="dxa"/>
              <w:right w:w="80" w:type="dxa"/>
            </w:tcMar>
          </w:tcPr>
          <w:p w:rsidR="000821EB" w:rsidRPr="00CB376B" w:rsidRDefault="000821EB" w:rsidP="00CB376B">
            <w:pPr>
              <w:keepNext/>
              <w:autoSpaceDE w:val="0"/>
              <w:autoSpaceDN w:val="0"/>
              <w:adjustRightInd w:val="0"/>
              <w:spacing w:before="80" w:after="80"/>
              <w:rPr>
                <w:rFonts w:ascii="Calibri" w:hAnsi="Calibri" w:cs="Calibri"/>
                <w:b/>
                <w:bCs/>
                <w:color w:val="000000"/>
                <w:sz w:val="20"/>
                <w:szCs w:val="20"/>
              </w:rPr>
            </w:pPr>
            <w:r w:rsidRPr="00CB376B">
              <w:rPr>
                <w:rFonts w:ascii="Calibri" w:hAnsi="Calibri" w:cs="Calibri"/>
                <w:b/>
                <w:bCs/>
                <w:color w:val="000000"/>
                <w:sz w:val="20"/>
                <w:szCs w:val="20"/>
              </w:rPr>
              <w:t>1</w:t>
            </w:r>
          </w:p>
        </w:tc>
        <w:tc>
          <w:tcPr>
            <w:tcW w:w="1530" w:type="dxa"/>
            <w:tcBorders>
              <w:top w:val="nil"/>
              <w:left w:val="nil"/>
              <w:bottom w:val="nil"/>
              <w:right w:val="nil"/>
            </w:tcBorders>
            <w:shd w:val="clear" w:color="auto" w:fill="FFFFFF"/>
            <w:tcMar>
              <w:left w:w="80" w:type="dxa"/>
              <w:right w:w="80" w:type="dxa"/>
            </w:tcMar>
          </w:tcPr>
          <w:p w:rsidR="000821EB" w:rsidRPr="00CB376B" w:rsidRDefault="000821EB" w:rsidP="00CB376B">
            <w:pPr>
              <w:keepNext/>
              <w:autoSpaceDE w:val="0"/>
              <w:autoSpaceDN w:val="0"/>
              <w:adjustRightInd w:val="0"/>
              <w:spacing w:before="80" w:after="80"/>
              <w:rPr>
                <w:rFonts w:ascii="Calibri" w:hAnsi="Calibri" w:cs="Calibri"/>
                <w:b/>
                <w:bCs/>
                <w:color w:val="000000"/>
                <w:sz w:val="20"/>
                <w:szCs w:val="20"/>
              </w:rPr>
            </w:pPr>
            <w:r w:rsidRPr="00CB376B">
              <w:rPr>
                <w:rFonts w:ascii="Calibri" w:hAnsi="Calibri" w:cs="Calibri"/>
                <w:b/>
                <w:bCs/>
                <w:color w:val="000000"/>
                <w:sz w:val="20"/>
                <w:szCs w:val="20"/>
              </w:rPr>
              <w:t>Quote midpoint</w:t>
            </w:r>
          </w:p>
        </w:tc>
        <w:tc>
          <w:tcPr>
            <w:tcW w:w="900" w:type="dxa"/>
            <w:tcBorders>
              <w:top w:val="nil"/>
              <w:left w:val="nil"/>
              <w:bottom w:val="nil"/>
              <w:right w:val="nil"/>
            </w:tcBorders>
            <w:shd w:val="clear" w:color="auto" w:fill="FFFFFF"/>
            <w:tcMar>
              <w:left w:w="80" w:type="dxa"/>
              <w:right w:w="80" w:type="dxa"/>
            </w:tcMar>
          </w:tcPr>
          <w:p w:rsidR="000821EB" w:rsidRPr="00FB27EB" w:rsidRDefault="000821EB" w:rsidP="00725735">
            <w:pPr>
              <w:keepNext/>
              <w:autoSpaceDE w:val="0"/>
              <w:autoSpaceDN w:val="0"/>
              <w:adjustRightInd w:val="0"/>
              <w:spacing w:before="80" w:after="80"/>
              <w:rPr>
                <w:rFonts w:ascii="Calibri" w:hAnsi="Calibri" w:cs="Calibri"/>
                <w:b/>
                <w:bCs/>
                <w:color w:val="000000"/>
                <w:sz w:val="20"/>
                <w:szCs w:val="20"/>
              </w:rPr>
            </w:pPr>
          </w:p>
        </w:tc>
        <w:tc>
          <w:tcPr>
            <w:tcW w:w="1080" w:type="dxa"/>
            <w:tcBorders>
              <w:left w:val="nil"/>
              <w:bottom w:val="nil"/>
              <w:right w:val="nil"/>
            </w:tcBorders>
            <w:shd w:val="clear" w:color="auto" w:fill="FFFFFF"/>
            <w:tcMar>
              <w:left w:w="80" w:type="dxa"/>
              <w:right w:w="80" w:type="dxa"/>
            </w:tcMar>
            <w:vAlign w:val="bottom"/>
          </w:tcPr>
          <w:p w:rsidR="000821EB" w:rsidRPr="00CB376B" w:rsidRDefault="000821EB" w:rsidP="00725735">
            <w:pPr>
              <w:keepNext/>
              <w:autoSpaceDE w:val="0"/>
              <w:autoSpaceDN w:val="0"/>
              <w:adjustRightInd w:val="0"/>
              <w:spacing w:before="80" w:after="80"/>
              <w:jc w:val="right"/>
              <w:rPr>
                <w:rFonts w:ascii="Calibri" w:hAnsi="Calibri" w:cs="Calibri"/>
                <w:color w:val="000000"/>
                <w:sz w:val="20"/>
                <w:szCs w:val="20"/>
              </w:rPr>
            </w:pPr>
            <w:r w:rsidRPr="00CB376B">
              <w:rPr>
                <w:rFonts w:ascii="Calibri" w:hAnsi="Calibri" w:cs="Calibri"/>
                <w:color w:val="000000"/>
                <w:sz w:val="20"/>
                <w:szCs w:val="20"/>
              </w:rPr>
              <w:t>-2.18%</w:t>
            </w:r>
          </w:p>
        </w:tc>
        <w:tc>
          <w:tcPr>
            <w:tcW w:w="1080" w:type="dxa"/>
            <w:tcBorders>
              <w:left w:val="nil"/>
              <w:bottom w:val="nil"/>
              <w:right w:val="nil"/>
            </w:tcBorders>
            <w:shd w:val="clear" w:color="auto" w:fill="FFFFFF"/>
            <w:tcMar>
              <w:left w:w="80" w:type="dxa"/>
              <w:right w:w="80" w:type="dxa"/>
            </w:tcMar>
            <w:vAlign w:val="bottom"/>
          </w:tcPr>
          <w:p w:rsidR="000821EB" w:rsidRPr="00CB376B" w:rsidRDefault="000821EB" w:rsidP="00725735">
            <w:pPr>
              <w:keepNext/>
              <w:autoSpaceDE w:val="0"/>
              <w:autoSpaceDN w:val="0"/>
              <w:adjustRightInd w:val="0"/>
              <w:spacing w:before="80" w:after="80"/>
              <w:jc w:val="right"/>
              <w:rPr>
                <w:rFonts w:ascii="Calibri" w:hAnsi="Calibri" w:cs="Calibri"/>
                <w:color w:val="000000"/>
                <w:sz w:val="20"/>
                <w:szCs w:val="20"/>
              </w:rPr>
            </w:pPr>
            <w:r w:rsidRPr="00CB376B">
              <w:rPr>
                <w:rFonts w:ascii="Calibri" w:hAnsi="Calibri" w:cs="Calibri"/>
                <w:color w:val="000000"/>
                <w:sz w:val="20"/>
                <w:szCs w:val="20"/>
              </w:rPr>
              <w:t>-5.27</w:t>
            </w:r>
          </w:p>
        </w:tc>
        <w:tc>
          <w:tcPr>
            <w:tcW w:w="900" w:type="dxa"/>
            <w:tcBorders>
              <w:left w:val="nil"/>
              <w:bottom w:val="nil"/>
              <w:right w:val="nil"/>
            </w:tcBorders>
            <w:shd w:val="clear" w:color="auto" w:fill="FFFFFF"/>
            <w:tcMar>
              <w:left w:w="80" w:type="dxa"/>
              <w:right w:w="80" w:type="dxa"/>
            </w:tcMar>
            <w:vAlign w:val="bottom"/>
          </w:tcPr>
          <w:p w:rsidR="000821EB" w:rsidRPr="00CB376B" w:rsidRDefault="000821EB" w:rsidP="00725735">
            <w:pPr>
              <w:keepNext/>
              <w:autoSpaceDE w:val="0"/>
              <w:autoSpaceDN w:val="0"/>
              <w:adjustRightInd w:val="0"/>
              <w:spacing w:before="80" w:after="80"/>
              <w:jc w:val="right"/>
              <w:rPr>
                <w:rFonts w:ascii="Calibri" w:hAnsi="Calibri" w:cs="Calibri"/>
                <w:color w:val="000000"/>
                <w:sz w:val="20"/>
                <w:szCs w:val="20"/>
              </w:rPr>
            </w:pPr>
            <w:r w:rsidRPr="00CB376B">
              <w:rPr>
                <w:rFonts w:ascii="Calibri" w:hAnsi="Calibri" w:cs="Calibri"/>
                <w:color w:val="000000"/>
                <w:sz w:val="20"/>
                <w:szCs w:val="20"/>
              </w:rPr>
              <w:t>62</w:t>
            </w:r>
          </w:p>
        </w:tc>
        <w:tc>
          <w:tcPr>
            <w:tcW w:w="180" w:type="dxa"/>
            <w:tcBorders>
              <w:left w:val="nil"/>
              <w:bottom w:val="nil"/>
              <w:right w:val="nil"/>
            </w:tcBorders>
            <w:shd w:val="clear" w:color="auto" w:fill="FFFFFF"/>
          </w:tcPr>
          <w:p w:rsidR="000821EB" w:rsidRPr="00FB27EB" w:rsidRDefault="000821EB" w:rsidP="000821EB">
            <w:pPr>
              <w:keepNext/>
              <w:autoSpaceDE w:val="0"/>
              <w:autoSpaceDN w:val="0"/>
              <w:adjustRightInd w:val="0"/>
              <w:spacing w:before="80" w:after="80"/>
              <w:jc w:val="right"/>
              <w:rPr>
                <w:rFonts w:ascii="Calibri" w:hAnsi="Calibri" w:cs="Calibri"/>
                <w:color w:val="000000"/>
                <w:sz w:val="20"/>
                <w:szCs w:val="20"/>
              </w:rPr>
            </w:pPr>
          </w:p>
        </w:tc>
        <w:tc>
          <w:tcPr>
            <w:tcW w:w="990" w:type="dxa"/>
            <w:tcBorders>
              <w:left w:val="nil"/>
              <w:bottom w:val="nil"/>
              <w:right w:val="nil"/>
            </w:tcBorders>
            <w:shd w:val="clear" w:color="auto" w:fill="FFFFFF"/>
            <w:vAlign w:val="bottom"/>
          </w:tcPr>
          <w:p w:rsidR="000821EB" w:rsidRPr="00FB27EB" w:rsidRDefault="000821EB" w:rsidP="000821EB">
            <w:pPr>
              <w:keepNext/>
              <w:autoSpaceDE w:val="0"/>
              <w:autoSpaceDN w:val="0"/>
              <w:adjustRightInd w:val="0"/>
              <w:spacing w:before="80" w:after="80"/>
              <w:jc w:val="right"/>
              <w:rPr>
                <w:rFonts w:ascii="Calibri" w:hAnsi="Calibri" w:cs="Calibri"/>
                <w:color w:val="000000"/>
                <w:sz w:val="20"/>
                <w:szCs w:val="20"/>
              </w:rPr>
            </w:pPr>
            <w:r w:rsidRPr="00FB27EB">
              <w:rPr>
                <w:rFonts w:ascii="Calibri" w:hAnsi="Calibri" w:cs="Calibri"/>
                <w:color w:val="000000"/>
                <w:sz w:val="20"/>
                <w:szCs w:val="20"/>
              </w:rPr>
              <w:t>-1.30%</w:t>
            </w:r>
          </w:p>
        </w:tc>
        <w:tc>
          <w:tcPr>
            <w:tcW w:w="1080" w:type="dxa"/>
            <w:tcBorders>
              <w:left w:val="nil"/>
              <w:bottom w:val="nil"/>
              <w:right w:val="nil"/>
            </w:tcBorders>
            <w:shd w:val="clear" w:color="auto" w:fill="FFFFFF"/>
            <w:vAlign w:val="bottom"/>
          </w:tcPr>
          <w:p w:rsidR="000821EB" w:rsidRPr="00FB27EB" w:rsidRDefault="000821EB" w:rsidP="000821EB">
            <w:pPr>
              <w:keepNext/>
              <w:autoSpaceDE w:val="0"/>
              <w:autoSpaceDN w:val="0"/>
              <w:adjustRightInd w:val="0"/>
              <w:spacing w:before="80" w:after="80"/>
              <w:jc w:val="right"/>
              <w:rPr>
                <w:rFonts w:ascii="Calibri" w:hAnsi="Calibri" w:cs="Calibri"/>
                <w:color w:val="000000"/>
                <w:sz w:val="20"/>
                <w:szCs w:val="20"/>
              </w:rPr>
            </w:pPr>
            <w:r w:rsidRPr="00FB27EB">
              <w:rPr>
                <w:rFonts w:ascii="Calibri" w:hAnsi="Calibri" w:cs="Calibri"/>
                <w:color w:val="000000"/>
                <w:sz w:val="20"/>
                <w:szCs w:val="20"/>
              </w:rPr>
              <w:t>-6.37</w:t>
            </w:r>
          </w:p>
        </w:tc>
        <w:tc>
          <w:tcPr>
            <w:tcW w:w="810" w:type="dxa"/>
            <w:tcBorders>
              <w:left w:val="nil"/>
              <w:bottom w:val="nil"/>
              <w:right w:val="nil"/>
            </w:tcBorders>
            <w:shd w:val="clear" w:color="auto" w:fill="FFFFFF"/>
            <w:vAlign w:val="bottom"/>
          </w:tcPr>
          <w:p w:rsidR="000821EB" w:rsidRPr="00FB27EB" w:rsidRDefault="000821EB" w:rsidP="000821EB">
            <w:pPr>
              <w:keepNext/>
              <w:autoSpaceDE w:val="0"/>
              <w:autoSpaceDN w:val="0"/>
              <w:adjustRightInd w:val="0"/>
              <w:spacing w:before="80" w:after="80"/>
              <w:jc w:val="right"/>
              <w:rPr>
                <w:rFonts w:ascii="Calibri" w:hAnsi="Calibri" w:cs="Calibri"/>
                <w:color w:val="000000"/>
                <w:sz w:val="20"/>
                <w:szCs w:val="20"/>
              </w:rPr>
            </w:pPr>
            <w:r w:rsidRPr="00FB27EB">
              <w:rPr>
                <w:rFonts w:ascii="Calibri" w:hAnsi="Calibri" w:cs="Calibri"/>
                <w:color w:val="000000"/>
                <w:sz w:val="20"/>
                <w:szCs w:val="20"/>
              </w:rPr>
              <w:t>8.8</w:t>
            </w:r>
          </w:p>
        </w:tc>
      </w:tr>
      <w:tr w:rsidR="00FB27EB" w:rsidRPr="00FB27EB" w:rsidTr="000323A3">
        <w:trPr>
          <w:cantSplit/>
        </w:trPr>
        <w:tc>
          <w:tcPr>
            <w:tcW w:w="810" w:type="dxa"/>
            <w:vMerge/>
            <w:tcBorders>
              <w:top w:val="nil"/>
              <w:left w:val="nil"/>
              <w:bottom w:val="nil"/>
              <w:right w:val="nil"/>
            </w:tcBorders>
            <w:shd w:val="clear" w:color="auto" w:fill="FFFFFF"/>
            <w:tcMar>
              <w:left w:w="80" w:type="dxa"/>
              <w:right w:w="80" w:type="dxa"/>
            </w:tcMar>
          </w:tcPr>
          <w:p w:rsidR="000821EB" w:rsidRPr="00CB376B" w:rsidRDefault="000821EB" w:rsidP="00CB376B">
            <w:pPr>
              <w:keepNext/>
              <w:autoSpaceDE w:val="0"/>
              <w:autoSpaceDN w:val="0"/>
              <w:adjustRightInd w:val="0"/>
              <w:rPr>
                <w:rFonts w:ascii="Times New Roman" w:hAnsi="Times New Roman"/>
                <w:sz w:val="20"/>
                <w:szCs w:val="20"/>
              </w:rPr>
            </w:pPr>
          </w:p>
        </w:tc>
        <w:tc>
          <w:tcPr>
            <w:tcW w:w="1530" w:type="dxa"/>
            <w:tcBorders>
              <w:top w:val="nil"/>
              <w:left w:val="nil"/>
              <w:bottom w:val="nil"/>
              <w:right w:val="nil"/>
            </w:tcBorders>
            <w:shd w:val="clear" w:color="auto" w:fill="FFFFFF"/>
            <w:tcMar>
              <w:left w:w="80" w:type="dxa"/>
              <w:right w:w="80" w:type="dxa"/>
            </w:tcMar>
          </w:tcPr>
          <w:p w:rsidR="000821EB" w:rsidRPr="00CB376B" w:rsidRDefault="000821EB" w:rsidP="00CB376B">
            <w:pPr>
              <w:keepNext/>
              <w:autoSpaceDE w:val="0"/>
              <w:autoSpaceDN w:val="0"/>
              <w:adjustRightInd w:val="0"/>
              <w:spacing w:before="80" w:after="80"/>
              <w:rPr>
                <w:rFonts w:ascii="Calibri" w:hAnsi="Calibri" w:cs="Calibri"/>
                <w:b/>
                <w:bCs/>
                <w:color w:val="000000"/>
                <w:sz w:val="20"/>
                <w:szCs w:val="20"/>
              </w:rPr>
            </w:pPr>
            <w:r w:rsidRPr="00CB376B">
              <w:rPr>
                <w:rFonts w:ascii="Calibri" w:hAnsi="Calibri" w:cs="Calibri"/>
                <w:b/>
                <w:bCs/>
                <w:color w:val="000000"/>
                <w:sz w:val="20"/>
                <w:szCs w:val="20"/>
              </w:rPr>
              <w:t>Unadjusted</w:t>
            </w:r>
          </w:p>
        </w:tc>
        <w:tc>
          <w:tcPr>
            <w:tcW w:w="900" w:type="dxa"/>
            <w:tcBorders>
              <w:top w:val="nil"/>
              <w:left w:val="nil"/>
              <w:bottom w:val="nil"/>
              <w:right w:val="nil"/>
            </w:tcBorders>
            <w:shd w:val="clear" w:color="auto" w:fill="FFFFFF"/>
            <w:tcMar>
              <w:left w:w="80" w:type="dxa"/>
              <w:right w:w="80" w:type="dxa"/>
            </w:tcMar>
          </w:tcPr>
          <w:p w:rsidR="000821EB" w:rsidRPr="00FB27EB" w:rsidRDefault="000821EB" w:rsidP="00725735">
            <w:pPr>
              <w:keepNext/>
              <w:autoSpaceDE w:val="0"/>
              <w:autoSpaceDN w:val="0"/>
              <w:adjustRightInd w:val="0"/>
              <w:spacing w:before="80" w:after="80"/>
              <w:rPr>
                <w:rFonts w:ascii="Calibri" w:hAnsi="Calibri" w:cs="Calibri"/>
                <w:b/>
                <w:bCs/>
                <w:color w:val="000000"/>
                <w:sz w:val="20"/>
                <w:szCs w:val="20"/>
              </w:rPr>
            </w:pPr>
            <w:r w:rsidRPr="00FB27EB">
              <w:rPr>
                <w:rFonts w:ascii="Calibri" w:hAnsi="Calibri" w:cs="Calibri"/>
                <w:b/>
                <w:bCs/>
                <w:color w:val="000000"/>
                <w:sz w:val="20"/>
                <w:szCs w:val="20"/>
              </w:rPr>
              <w:t>0¢</w:t>
            </w:r>
          </w:p>
        </w:tc>
        <w:tc>
          <w:tcPr>
            <w:tcW w:w="1080" w:type="dxa"/>
            <w:tcBorders>
              <w:top w:val="nil"/>
              <w:left w:val="nil"/>
              <w:bottom w:val="nil"/>
              <w:right w:val="nil"/>
            </w:tcBorders>
            <w:shd w:val="clear" w:color="auto" w:fill="FFFFFF"/>
            <w:tcMar>
              <w:left w:w="80" w:type="dxa"/>
              <w:right w:w="80" w:type="dxa"/>
            </w:tcMar>
            <w:vAlign w:val="bottom"/>
          </w:tcPr>
          <w:p w:rsidR="000821EB" w:rsidRPr="00CB376B" w:rsidRDefault="000821EB" w:rsidP="00CB376B">
            <w:pPr>
              <w:keepNext/>
              <w:autoSpaceDE w:val="0"/>
              <w:autoSpaceDN w:val="0"/>
              <w:adjustRightInd w:val="0"/>
              <w:spacing w:before="80" w:after="80"/>
              <w:jc w:val="right"/>
              <w:rPr>
                <w:rFonts w:ascii="Calibri" w:hAnsi="Calibri" w:cs="Calibri"/>
                <w:color w:val="000000"/>
                <w:sz w:val="20"/>
                <w:szCs w:val="20"/>
              </w:rPr>
            </w:pPr>
            <w:r w:rsidRPr="00CB376B">
              <w:rPr>
                <w:rFonts w:ascii="Calibri" w:hAnsi="Calibri" w:cs="Calibri"/>
                <w:color w:val="000000"/>
                <w:sz w:val="20"/>
                <w:szCs w:val="20"/>
              </w:rPr>
              <w:t>-1.17%</w:t>
            </w:r>
          </w:p>
        </w:tc>
        <w:tc>
          <w:tcPr>
            <w:tcW w:w="1080" w:type="dxa"/>
            <w:tcBorders>
              <w:top w:val="nil"/>
              <w:left w:val="nil"/>
              <w:bottom w:val="nil"/>
              <w:right w:val="nil"/>
            </w:tcBorders>
            <w:shd w:val="clear" w:color="auto" w:fill="FFFFFF"/>
            <w:tcMar>
              <w:left w:w="80" w:type="dxa"/>
              <w:right w:w="80" w:type="dxa"/>
            </w:tcMar>
            <w:vAlign w:val="bottom"/>
          </w:tcPr>
          <w:p w:rsidR="000821EB" w:rsidRPr="00CB376B" w:rsidRDefault="000821EB" w:rsidP="00CB376B">
            <w:pPr>
              <w:keepNext/>
              <w:autoSpaceDE w:val="0"/>
              <w:autoSpaceDN w:val="0"/>
              <w:adjustRightInd w:val="0"/>
              <w:spacing w:before="80" w:after="80"/>
              <w:jc w:val="right"/>
              <w:rPr>
                <w:rFonts w:ascii="Calibri" w:hAnsi="Calibri" w:cs="Calibri"/>
                <w:color w:val="000000"/>
                <w:sz w:val="20"/>
                <w:szCs w:val="20"/>
              </w:rPr>
            </w:pPr>
            <w:r w:rsidRPr="00CB376B">
              <w:rPr>
                <w:rFonts w:ascii="Calibri" w:hAnsi="Calibri" w:cs="Calibri"/>
                <w:color w:val="000000"/>
                <w:sz w:val="20"/>
                <w:szCs w:val="20"/>
              </w:rPr>
              <w:t>-2.16</w:t>
            </w:r>
          </w:p>
        </w:tc>
        <w:tc>
          <w:tcPr>
            <w:tcW w:w="900" w:type="dxa"/>
            <w:tcBorders>
              <w:top w:val="nil"/>
              <w:left w:val="nil"/>
              <w:bottom w:val="nil"/>
              <w:right w:val="nil"/>
            </w:tcBorders>
            <w:shd w:val="clear" w:color="auto" w:fill="FFFFFF"/>
            <w:tcMar>
              <w:left w:w="80" w:type="dxa"/>
              <w:right w:w="80" w:type="dxa"/>
            </w:tcMar>
            <w:vAlign w:val="bottom"/>
          </w:tcPr>
          <w:p w:rsidR="000821EB" w:rsidRPr="00CB376B" w:rsidRDefault="000821EB" w:rsidP="00CB376B">
            <w:pPr>
              <w:keepNext/>
              <w:autoSpaceDE w:val="0"/>
              <w:autoSpaceDN w:val="0"/>
              <w:adjustRightInd w:val="0"/>
              <w:spacing w:before="80" w:after="80"/>
              <w:jc w:val="right"/>
              <w:rPr>
                <w:rFonts w:ascii="Calibri" w:hAnsi="Calibri" w:cs="Calibri"/>
                <w:color w:val="000000"/>
                <w:sz w:val="20"/>
                <w:szCs w:val="20"/>
              </w:rPr>
            </w:pPr>
            <w:r w:rsidRPr="00CB376B">
              <w:rPr>
                <w:rFonts w:ascii="Calibri" w:hAnsi="Calibri" w:cs="Calibri"/>
                <w:color w:val="000000"/>
                <w:sz w:val="20"/>
                <w:szCs w:val="20"/>
              </w:rPr>
              <w:t>52</w:t>
            </w:r>
          </w:p>
        </w:tc>
        <w:tc>
          <w:tcPr>
            <w:tcW w:w="180" w:type="dxa"/>
            <w:tcBorders>
              <w:top w:val="nil"/>
              <w:left w:val="nil"/>
              <w:bottom w:val="nil"/>
              <w:right w:val="nil"/>
            </w:tcBorders>
            <w:shd w:val="clear" w:color="auto" w:fill="FFFFFF"/>
          </w:tcPr>
          <w:p w:rsidR="000821EB" w:rsidRPr="00FB27EB" w:rsidRDefault="000821EB" w:rsidP="00725735">
            <w:pPr>
              <w:keepNext/>
              <w:autoSpaceDE w:val="0"/>
              <w:autoSpaceDN w:val="0"/>
              <w:adjustRightInd w:val="0"/>
              <w:spacing w:before="80" w:after="80"/>
              <w:jc w:val="right"/>
              <w:rPr>
                <w:rFonts w:ascii="Calibri" w:hAnsi="Calibri" w:cs="Calibri"/>
                <w:color w:val="000000"/>
                <w:sz w:val="20"/>
                <w:szCs w:val="20"/>
              </w:rPr>
            </w:pPr>
          </w:p>
        </w:tc>
        <w:tc>
          <w:tcPr>
            <w:tcW w:w="990" w:type="dxa"/>
            <w:tcBorders>
              <w:top w:val="nil"/>
              <w:left w:val="nil"/>
              <w:bottom w:val="nil"/>
              <w:right w:val="nil"/>
            </w:tcBorders>
            <w:shd w:val="clear" w:color="auto" w:fill="FFFFFF"/>
            <w:vAlign w:val="bottom"/>
          </w:tcPr>
          <w:p w:rsidR="000821EB" w:rsidRPr="00FB27EB" w:rsidRDefault="000821EB" w:rsidP="00725735">
            <w:pPr>
              <w:keepNext/>
              <w:autoSpaceDE w:val="0"/>
              <w:autoSpaceDN w:val="0"/>
              <w:adjustRightInd w:val="0"/>
              <w:spacing w:before="80" w:after="80"/>
              <w:jc w:val="right"/>
              <w:rPr>
                <w:rFonts w:ascii="Calibri" w:hAnsi="Calibri" w:cs="Calibri"/>
                <w:color w:val="000000"/>
                <w:sz w:val="20"/>
                <w:szCs w:val="20"/>
              </w:rPr>
            </w:pPr>
            <w:r w:rsidRPr="00FB27EB">
              <w:rPr>
                <w:rFonts w:ascii="Calibri" w:hAnsi="Calibri" w:cs="Calibri"/>
                <w:color w:val="000000"/>
                <w:sz w:val="20"/>
                <w:szCs w:val="20"/>
              </w:rPr>
              <w:t>-0.27%</w:t>
            </w:r>
          </w:p>
        </w:tc>
        <w:tc>
          <w:tcPr>
            <w:tcW w:w="1080" w:type="dxa"/>
            <w:tcBorders>
              <w:top w:val="nil"/>
              <w:left w:val="nil"/>
              <w:bottom w:val="nil"/>
              <w:right w:val="nil"/>
            </w:tcBorders>
            <w:shd w:val="clear" w:color="auto" w:fill="FFFFFF"/>
            <w:vAlign w:val="bottom"/>
          </w:tcPr>
          <w:p w:rsidR="000821EB" w:rsidRPr="00FB27EB" w:rsidRDefault="000821EB" w:rsidP="00725735">
            <w:pPr>
              <w:keepNext/>
              <w:autoSpaceDE w:val="0"/>
              <w:autoSpaceDN w:val="0"/>
              <w:adjustRightInd w:val="0"/>
              <w:spacing w:before="80" w:after="80"/>
              <w:jc w:val="right"/>
              <w:rPr>
                <w:rFonts w:ascii="Calibri" w:hAnsi="Calibri" w:cs="Calibri"/>
                <w:color w:val="000000"/>
                <w:sz w:val="20"/>
                <w:szCs w:val="20"/>
              </w:rPr>
            </w:pPr>
            <w:r w:rsidRPr="00FB27EB">
              <w:rPr>
                <w:rFonts w:ascii="Calibri" w:hAnsi="Calibri" w:cs="Calibri"/>
                <w:color w:val="000000"/>
                <w:sz w:val="20"/>
                <w:szCs w:val="20"/>
              </w:rPr>
              <w:t>-1.03</w:t>
            </w:r>
          </w:p>
        </w:tc>
        <w:tc>
          <w:tcPr>
            <w:tcW w:w="810" w:type="dxa"/>
            <w:tcBorders>
              <w:top w:val="nil"/>
              <w:left w:val="nil"/>
              <w:bottom w:val="nil"/>
              <w:right w:val="nil"/>
            </w:tcBorders>
            <w:shd w:val="clear" w:color="auto" w:fill="FFFFFF"/>
            <w:vAlign w:val="bottom"/>
          </w:tcPr>
          <w:p w:rsidR="000821EB" w:rsidRPr="00FB27EB" w:rsidRDefault="000821EB" w:rsidP="00725735">
            <w:pPr>
              <w:keepNext/>
              <w:autoSpaceDE w:val="0"/>
              <w:autoSpaceDN w:val="0"/>
              <w:adjustRightInd w:val="0"/>
              <w:spacing w:before="80" w:after="80"/>
              <w:jc w:val="right"/>
              <w:rPr>
                <w:rFonts w:ascii="Calibri" w:hAnsi="Calibri" w:cs="Calibri"/>
                <w:color w:val="000000"/>
                <w:sz w:val="20"/>
                <w:szCs w:val="20"/>
              </w:rPr>
            </w:pPr>
            <w:r w:rsidRPr="00FB27EB">
              <w:rPr>
                <w:rFonts w:ascii="Calibri" w:hAnsi="Calibri" w:cs="Calibri"/>
                <w:color w:val="000000"/>
                <w:sz w:val="20"/>
                <w:szCs w:val="20"/>
              </w:rPr>
              <w:t>7.0</w:t>
            </w:r>
          </w:p>
        </w:tc>
      </w:tr>
      <w:tr w:rsidR="00FB27EB" w:rsidRPr="00FB27EB" w:rsidTr="000323A3">
        <w:trPr>
          <w:cantSplit/>
        </w:trPr>
        <w:tc>
          <w:tcPr>
            <w:tcW w:w="810" w:type="dxa"/>
            <w:vMerge/>
            <w:tcBorders>
              <w:top w:val="nil"/>
              <w:left w:val="nil"/>
              <w:bottom w:val="nil"/>
              <w:right w:val="nil"/>
            </w:tcBorders>
            <w:shd w:val="clear" w:color="auto" w:fill="FFFFFF"/>
            <w:tcMar>
              <w:left w:w="80" w:type="dxa"/>
              <w:right w:w="80" w:type="dxa"/>
            </w:tcMar>
          </w:tcPr>
          <w:p w:rsidR="000821EB" w:rsidRPr="00CB376B" w:rsidRDefault="000821EB" w:rsidP="00CB376B">
            <w:pPr>
              <w:autoSpaceDE w:val="0"/>
              <w:autoSpaceDN w:val="0"/>
              <w:adjustRightInd w:val="0"/>
              <w:rPr>
                <w:rFonts w:ascii="Times New Roman" w:hAnsi="Times New Roman"/>
                <w:sz w:val="20"/>
                <w:szCs w:val="20"/>
              </w:rPr>
            </w:pPr>
          </w:p>
        </w:tc>
        <w:tc>
          <w:tcPr>
            <w:tcW w:w="1530" w:type="dxa"/>
            <w:tcBorders>
              <w:top w:val="nil"/>
              <w:left w:val="nil"/>
              <w:bottom w:val="nil"/>
              <w:right w:val="nil"/>
            </w:tcBorders>
            <w:shd w:val="clear" w:color="auto" w:fill="FFFFFF"/>
            <w:tcMar>
              <w:left w:w="80" w:type="dxa"/>
              <w:right w:w="80" w:type="dxa"/>
            </w:tcMar>
          </w:tcPr>
          <w:p w:rsidR="000821EB" w:rsidRPr="00CB376B" w:rsidRDefault="000821EB" w:rsidP="00CB376B">
            <w:pPr>
              <w:autoSpaceDE w:val="0"/>
              <w:autoSpaceDN w:val="0"/>
              <w:adjustRightInd w:val="0"/>
              <w:spacing w:before="80" w:after="80"/>
              <w:rPr>
                <w:rFonts w:ascii="Calibri" w:hAnsi="Calibri" w:cs="Calibri"/>
                <w:b/>
                <w:bCs/>
                <w:color w:val="000000"/>
                <w:sz w:val="20"/>
                <w:szCs w:val="20"/>
              </w:rPr>
            </w:pPr>
            <w:r w:rsidRPr="00CB376B">
              <w:rPr>
                <w:rFonts w:ascii="Calibri" w:hAnsi="Calibri" w:cs="Calibri"/>
                <w:b/>
                <w:bCs/>
                <w:color w:val="000000"/>
                <w:sz w:val="20"/>
                <w:szCs w:val="20"/>
              </w:rPr>
              <w:t>Adjusted</w:t>
            </w:r>
          </w:p>
        </w:tc>
        <w:tc>
          <w:tcPr>
            <w:tcW w:w="900" w:type="dxa"/>
            <w:tcBorders>
              <w:top w:val="nil"/>
              <w:left w:val="nil"/>
              <w:bottom w:val="nil"/>
              <w:right w:val="nil"/>
            </w:tcBorders>
            <w:shd w:val="clear" w:color="auto" w:fill="FFFFFF"/>
            <w:tcMar>
              <w:left w:w="80" w:type="dxa"/>
              <w:right w:w="80" w:type="dxa"/>
            </w:tcMar>
          </w:tcPr>
          <w:p w:rsidR="000821EB" w:rsidRPr="00FB27EB" w:rsidRDefault="000821EB" w:rsidP="00725735">
            <w:pPr>
              <w:autoSpaceDE w:val="0"/>
              <w:autoSpaceDN w:val="0"/>
              <w:adjustRightInd w:val="0"/>
              <w:spacing w:before="80" w:after="80"/>
              <w:rPr>
                <w:rFonts w:ascii="Calibri" w:hAnsi="Calibri" w:cs="Calibri"/>
                <w:b/>
                <w:bCs/>
                <w:color w:val="000000"/>
                <w:sz w:val="20"/>
                <w:szCs w:val="20"/>
              </w:rPr>
            </w:pPr>
            <w:r w:rsidRPr="00FB27EB">
              <w:rPr>
                <w:rFonts w:ascii="Calibri" w:hAnsi="Calibri" w:cs="Calibri"/>
                <w:b/>
                <w:bCs/>
                <w:color w:val="000000"/>
                <w:sz w:val="20"/>
                <w:szCs w:val="20"/>
              </w:rPr>
              <w:t>0.275¢</w:t>
            </w:r>
          </w:p>
        </w:tc>
        <w:tc>
          <w:tcPr>
            <w:tcW w:w="1080" w:type="dxa"/>
            <w:tcBorders>
              <w:top w:val="nil"/>
              <w:left w:val="nil"/>
              <w:bottom w:val="nil"/>
              <w:right w:val="nil"/>
            </w:tcBorders>
            <w:shd w:val="clear" w:color="auto" w:fill="FFFFFF"/>
            <w:tcMar>
              <w:left w:w="80" w:type="dxa"/>
              <w:right w:w="80" w:type="dxa"/>
            </w:tcMar>
            <w:vAlign w:val="bottom"/>
          </w:tcPr>
          <w:p w:rsidR="000821EB" w:rsidRPr="00CB376B" w:rsidRDefault="000821EB" w:rsidP="00CB376B">
            <w:pPr>
              <w:autoSpaceDE w:val="0"/>
              <w:autoSpaceDN w:val="0"/>
              <w:adjustRightInd w:val="0"/>
              <w:spacing w:before="80" w:after="80"/>
              <w:jc w:val="right"/>
              <w:rPr>
                <w:rFonts w:ascii="Calibri" w:hAnsi="Calibri" w:cs="Calibri"/>
                <w:color w:val="000000"/>
                <w:sz w:val="20"/>
                <w:szCs w:val="20"/>
              </w:rPr>
            </w:pPr>
            <w:r w:rsidRPr="00CB376B">
              <w:rPr>
                <w:rFonts w:ascii="Calibri" w:hAnsi="Calibri" w:cs="Calibri"/>
                <w:color w:val="000000"/>
                <w:sz w:val="20"/>
                <w:szCs w:val="20"/>
              </w:rPr>
              <w:t>-2.79%</w:t>
            </w:r>
          </w:p>
        </w:tc>
        <w:tc>
          <w:tcPr>
            <w:tcW w:w="1080" w:type="dxa"/>
            <w:tcBorders>
              <w:top w:val="nil"/>
              <w:left w:val="nil"/>
              <w:bottom w:val="nil"/>
              <w:right w:val="nil"/>
            </w:tcBorders>
            <w:shd w:val="clear" w:color="auto" w:fill="FFFFFF"/>
            <w:tcMar>
              <w:left w:w="80" w:type="dxa"/>
              <w:right w:w="80" w:type="dxa"/>
            </w:tcMar>
            <w:vAlign w:val="bottom"/>
          </w:tcPr>
          <w:p w:rsidR="000821EB" w:rsidRPr="00CB376B" w:rsidRDefault="000821EB" w:rsidP="00CB376B">
            <w:pPr>
              <w:autoSpaceDE w:val="0"/>
              <w:autoSpaceDN w:val="0"/>
              <w:adjustRightInd w:val="0"/>
              <w:spacing w:before="80" w:after="80"/>
              <w:jc w:val="right"/>
              <w:rPr>
                <w:rFonts w:ascii="Calibri" w:hAnsi="Calibri" w:cs="Calibri"/>
                <w:color w:val="000000"/>
                <w:sz w:val="20"/>
                <w:szCs w:val="20"/>
              </w:rPr>
            </w:pPr>
            <w:r w:rsidRPr="00CB376B">
              <w:rPr>
                <w:rFonts w:ascii="Calibri" w:hAnsi="Calibri" w:cs="Calibri"/>
                <w:color w:val="000000"/>
                <w:sz w:val="20"/>
                <w:szCs w:val="20"/>
              </w:rPr>
              <w:t>-4.66</w:t>
            </w:r>
          </w:p>
        </w:tc>
        <w:tc>
          <w:tcPr>
            <w:tcW w:w="900" w:type="dxa"/>
            <w:tcBorders>
              <w:top w:val="nil"/>
              <w:left w:val="nil"/>
              <w:bottom w:val="nil"/>
              <w:right w:val="nil"/>
            </w:tcBorders>
            <w:shd w:val="clear" w:color="auto" w:fill="FFFFFF"/>
            <w:tcMar>
              <w:left w:w="80" w:type="dxa"/>
              <w:right w:w="80" w:type="dxa"/>
            </w:tcMar>
            <w:vAlign w:val="bottom"/>
          </w:tcPr>
          <w:p w:rsidR="000821EB" w:rsidRPr="00CB376B" w:rsidRDefault="000821EB" w:rsidP="00CB376B">
            <w:pPr>
              <w:autoSpaceDE w:val="0"/>
              <w:autoSpaceDN w:val="0"/>
              <w:adjustRightInd w:val="0"/>
              <w:spacing w:before="80" w:after="80"/>
              <w:jc w:val="right"/>
              <w:rPr>
                <w:rFonts w:ascii="Calibri" w:hAnsi="Calibri" w:cs="Calibri"/>
                <w:color w:val="000000"/>
                <w:sz w:val="20"/>
                <w:szCs w:val="20"/>
              </w:rPr>
            </w:pPr>
            <w:r w:rsidRPr="00CB376B">
              <w:rPr>
                <w:rFonts w:ascii="Calibri" w:hAnsi="Calibri" w:cs="Calibri"/>
                <w:color w:val="000000"/>
                <w:sz w:val="20"/>
                <w:szCs w:val="20"/>
              </w:rPr>
              <w:t>62</w:t>
            </w:r>
          </w:p>
        </w:tc>
        <w:tc>
          <w:tcPr>
            <w:tcW w:w="180" w:type="dxa"/>
            <w:tcBorders>
              <w:top w:val="nil"/>
              <w:left w:val="nil"/>
              <w:bottom w:val="nil"/>
              <w:right w:val="nil"/>
            </w:tcBorders>
            <w:shd w:val="clear" w:color="auto" w:fill="FFFFFF"/>
          </w:tcPr>
          <w:p w:rsidR="000821EB" w:rsidRPr="00FB27EB" w:rsidRDefault="000821EB" w:rsidP="00725735">
            <w:pPr>
              <w:keepNext/>
              <w:autoSpaceDE w:val="0"/>
              <w:autoSpaceDN w:val="0"/>
              <w:adjustRightInd w:val="0"/>
              <w:spacing w:before="80" w:after="80"/>
              <w:jc w:val="right"/>
              <w:rPr>
                <w:rFonts w:ascii="Calibri" w:hAnsi="Calibri" w:cs="Calibri"/>
                <w:color w:val="000000"/>
                <w:sz w:val="20"/>
                <w:szCs w:val="20"/>
              </w:rPr>
            </w:pPr>
          </w:p>
        </w:tc>
        <w:tc>
          <w:tcPr>
            <w:tcW w:w="990" w:type="dxa"/>
            <w:tcBorders>
              <w:top w:val="nil"/>
              <w:left w:val="nil"/>
              <w:bottom w:val="nil"/>
              <w:right w:val="nil"/>
            </w:tcBorders>
            <w:shd w:val="clear" w:color="auto" w:fill="FFFFFF"/>
            <w:vAlign w:val="bottom"/>
          </w:tcPr>
          <w:p w:rsidR="000821EB" w:rsidRPr="00FB27EB" w:rsidRDefault="000821EB" w:rsidP="00725735">
            <w:pPr>
              <w:keepNext/>
              <w:autoSpaceDE w:val="0"/>
              <w:autoSpaceDN w:val="0"/>
              <w:adjustRightInd w:val="0"/>
              <w:spacing w:before="80" w:after="80"/>
              <w:jc w:val="right"/>
              <w:rPr>
                <w:rFonts w:ascii="Calibri" w:hAnsi="Calibri" w:cs="Calibri"/>
                <w:color w:val="000000"/>
                <w:sz w:val="20"/>
                <w:szCs w:val="20"/>
              </w:rPr>
            </w:pPr>
            <w:r w:rsidRPr="00FB27EB">
              <w:rPr>
                <w:rFonts w:ascii="Calibri" w:hAnsi="Calibri" w:cs="Calibri"/>
                <w:color w:val="000000"/>
                <w:sz w:val="20"/>
                <w:szCs w:val="20"/>
              </w:rPr>
              <w:t>-1.07%</w:t>
            </w:r>
          </w:p>
        </w:tc>
        <w:tc>
          <w:tcPr>
            <w:tcW w:w="1080" w:type="dxa"/>
            <w:tcBorders>
              <w:top w:val="nil"/>
              <w:left w:val="nil"/>
              <w:bottom w:val="nil"/>
              <w:right w:val="nil"/>
            </w:tcBorders>
            <w:shd w:val="clear" w:color="auto" w:fill="FFFFFF"/>
            <w:vAlign w:val="bottom"/>
          </w:tcPr>
          <w:p w:rsidR="000821EB" w:rsidRPr="00FB27EB" w:rsidRDefault="000821EB" w:rsidP="00725735">
            <w:pPr>
              <w:keepNext/>
              <w:autoSpaceDE w:val="0"/>
              <w:autoSpaceDN w:val="0"/>
              <w:adjustRightInd w:val="0"/>
              <w:spacing w:before="80" w:after="80"/>
              <w:jc w:val="right"/>
              <w:rPr>
                <w:rFonts w:ascii="Calibri" w:hAnsi="Calibri" w:cs="Calibri"/>
                <w:color w:val="000000"/>
                <w:sz w:val="20"/>
                <w:szCs w:val="20"/>
              </w:rPr>
            </w:pPr>
            <w:r w:rsidRPr="00FB27EB">
              <w:rPr>
                <w:rFonts w:ascii="Calibri" w:hAnsi="Calibri" w:cs="Calibri"/>
                <w:color w:val="000000"/>
                <w:sz w:val="20"/>
                <w:szCs w:val="20"/>
              </w:rPr>
              <w:t>-4.15</w:t>
            </w:r>
          </w:p>
        </w:tc>
        <w:tc>
          <w:tcPr>
            <w:tcW w:w="810" w:type="dxa"/>
            <w:tcBorders>
              <w:top w:val="nil"/>
              <w:left w:val="nil"/>
              <w:bottom w:val="nil"/>
              <w:right w:val="nil"/>
            </w:tcBorders>
            <w:shd w:val="clear" w:color="auto" w:fill="FFFFFF"/>
            <w:vAlign w:val="bottom"/>
          </w:tcPr>
          <w:p w:rsidR="000821EB" w:rsidRPr="00FB27EB" w:rsidRDefault="000821EB" w:rsidP="00725735">
            <w:pPr>
              <w:keepNext/>
              <w:autoSpaceDE w:val="0"/>
              <w:autoSpaceDN w:val="0"/>
              <w:adjustRightInd w:val="0"/>
              <w:spacing w:before="80" w:after="80"/>
              <w:jc w:val="right"/>
              <w:rPr>
                <w:rFonts w:ascii="Calibri" w:hAnsi="Calibri" w:cs="Calibri"/>
                <w:color w:val="000000"/>
                <w:sz w:val="20"/>
                <w:szCs w:val="20"/>
              </w:rPr>
            </w:pPr>
            <w:r w:rsidRPr="00FB27EB">
              <w:rPr>
                <w:rFonts w:ascii="Calibri" w:hAnsi="Calibri" w:cs="Calibri"/>
                <w:color w:val="000000"/>
                <w:sz w:val="20"/>
                <w:szCs w:val="20"/>
              </w:rPr>
              <w:t>8.1</w:t>
            </w:r>
          </w:p>
        </w:tc>
      </w:tr>
      <w:tr w:rsidR="00FB27EB" w:rsidRPr="00FB27EB" w:rsidTr="000323A3">
        <w:trPr>
          <w:cantSplit/>
        </w:trPr>
        <w:tc>
          <w:tcPr>
            <w:tcW w:w="810" w:type="dxa"/>
            <w:vMerge w:val="restart"/>
            <w:tcBorders>
              <w:top w:val="nil"/>
              <w:left w:val="nil"/>
              <w:bottom w:val="nil"/>
              <w:right w:val="nil"/>
            </w:tcBorders>
            <w:shd w:val="clear" w:color="auto" w:fill="FFFFFF"/>
            <w:tcMar>
              <w:left w:w="80" w:type="dxa"/>
              <w:right w:w="80" w:type="dxa"/>
            </w:tcMar>
          </w:tcPr>
          <w:p w:rsidR="000821EB" w:rsidRPr="00CB376B" w:rsidRDefault="000821EB" w:rsidP="00CB376B">
            <w:pPr>
              <w:keepNext/>
              <w:autoSpaceDE w:val="0"/>
              <w:autoSpaceDN w:val="0"/>
              <w:adjustRightInd w:val="0"/>
              <w:spacing w:before="80" w:after="80"/>
              <w:rPr>
                <w:rFonts w:ascii="Calibri" w:hAnsi="Calibri" w:cs="Calibri"/>
                <w:b/>
                <w:bCs/>
                <w:color w:val="000000"/>
                <w:sz w:val="20"/>
                <w:szCs w:val="20"/>
              </w:rPr>
            </w:pPr>
            <w:r w:rsidRPr="00CB376B">
              <w:rPr>
                <w:rFonts w:ascii="Calibri" w:hAnsi="Calibri" w:cs="Calibri"/>
                <w:b/>
                <w:bCs/>
                <w:color w:val="000000"/>
                <w:sz w:val="20"/>
                <w:szCs w:val="20"/>
              </w:rPr>
              <w:t>2</w:t>
            </w:r>
          </w:p>
        </w:tc>
        <w:tc>
          <w:tcPr>
            <w:tcW w:w="1530" w:type="dxa"/>
            <w:tcBorders>
              <w:top w:val="nil"/>
              <w:left w:val="nil"/>
              <w:bottom w:val="nil"/>
              <w:right w:val="nil"/>
            </w:tcBorders>
            <w:shd w:val="clear" w:color="auto" w:fill="FFFFFF"/>
            <w:tcMar>
              <w:left w:w="80" w:type="dxa"/>
              <w:right w:w="80" w:type="dxa"/>
            </w:tcMar>
          </w:tcPr>
          <w:p w:rsidR="000821EB" w:rsidRPr="00CB376B" w:rsidRDefault="000821EB" w:rsidP="00CB376B">
            <w:pPr>
              <w:keepNext/>
              <w:autoSpaceDE w:val="0"/>
              <w:autoSpaceDN w:val="0"/>
              <w:adjustRightInd w:val="0"/>
              <w:spacing w:before="80" w:after="80"/>
              <w:rPr>
                <w:rFonts w:ascii="Calibri" w:hAnsi="Calibri" w:cs="Calibri"/>
                <w:b/>
                <w:bCs/>
                <w:color w:val="000000"/>
                <w:sz w:val="20"/>
                <w:szCs w:val="20"/>
              </w:rPr>
            </w:pPr>
            <w:r w:rsidRPr="00CB376B">
              <w:rPr>
                <w:rFonts w:ascii="Calibri" w:hAnsi="Calibri" w:cs="Calibri"/>
                <w:b/>
                <w:bCs/>
                <w:color w:val="000000"/>
                <w:sz w:val="20"/>
                <w:szCs w:val="20"/>
              </w:rPr>
              <w:t>Quote midpoint</w:t>
            </w:r>
          </w:p>
        </w:tc>
        <w:tc>
          <w:tcPr>
            <w:tcW w:w="900" w:type="dxa"/>
            <w:tcBorders>
              <w:top w:val="nil"/>
              <w:left w:val="nil"/>
              <w:bottom w:val="nil"/>
              <w:right w:val="nil"/>
            </w:tcBorders>
            <w:shd w:val="clear" w:color="auto" w:fill="FFFFFF"/>
            <w:tcMar>
              <w:left w:w="80" w:type="dxa"/>
              <w:right w:w="80" w:type="dxa"/>
            </w:tcMar>
          </w:tcPr>
          <w:p w:rsidR="000821EB" w:rsidRPr="00FB27EB" w:rsidRDefault="000821EB" w:rsidP="00725735">
            <w:pPr>
              <w:keepNext/>
              <w:autoSpaceDE w:val="0"/>
              <w:autoSpaceDN w:val="0"/>
              <w:adjustRightInd w:val="0"/>
              <w:spacing w:before="80" w:after="80"/>
              <w:rPr>
                <w:rFonts w:ascii="Calibri" w:hAnsi="Calibri" w:cs="Calibri"/>
                <w:b/>
                <w:bCs/>
                <w:color w:val="000000"/>
                <w:sz w:val="20"/>
                <w:szCs w:val="20"/>
              </w:rPr>
            </w:pPr>
          </w:p>
        </w:tc>
        <w:tc>
          <w:tcPr>
            <w:tcW w:w="1080" w:type="dxa"/>
            <w:tcBorders>
              <w:top w:val="nil"/>
              <w:left w:val="nil"/>
              <w:bottom w:val="nil"/>
              <w:right w:val="nil"/>
            </w:tcBorders>
            <w:shd w:val="clear" w:color="auto" w:fill="FFFFFF"/>
            <w:tcMar>
              <w:left w:w="80" w:type="dxa"/>
              <w:right w:w="80" w:type="dxa"/>
            </w:tcMar>
            <w:vAlign w:val="bottom"/>
          </w:tcPr>
          <w:p w:rsidR="000821EB" w:rsidRPr="00CB376B" w:rsidRDefault="000821EB" w:rsidP="00CB376B">
            <w:pPr>
              <w:keepNext/>
              <w:autoSpaceDE w:val="0"/>
              <w:autoSpaceDN w:val="0"/>
              <w:adjustRightInd w:val="0"/>
              <w:spacing w:before="80" w:after="80"/>
              <w:jc w:val="right"/>
              <w:rPr>
                <w:rFonts w:ascii="Calibri" w:hAnsi="Calibri" w:cs="Calibri"/>
                <w:color w:val="000000"/>
                <w:sz w:val="20"/>
                <w:szCs w:val="20"/>
              </w:rPr>
            </w:pPr>
            <w:r w:rsidRPr="00CB376B">
              <w:rPr>
                <w:rFonts w:ascii="Calibri" w:hAnsi="Calibri" w:cs="Calibri"/>
                <w:color w:val="000000"/>
                <w:sz w:val="20"/>
                <w:szCs w:val="20"/>
              </w:rPr>
              <w:t>-2.78%</w:t>
            </w:r>
          </w:p>
        </w:tc>
        <w:tc>
          <w:tcPr>
            <w:tcW w:w="1080" w:type="dxa"/>
            <w:tcBorders>
              <w:top w:val="nil"/>
              <w:left w:val="nil"/>
              <w:bottom w:val="nil"/>
              <w:right w:val="nil"/>
            </w:tcBorders>
            <w:shd w:val="clear" w:color="auto" w:fill="FFFFFF"/>
            <w:tcMar>
              <w:left w:w="80" w:type="dxa"/>
              <w:right w:w="80" w:type="dxa"/>
            </w:tcMar>
            <w:vAlign w:val="bottom"/>
          </w:tcPr>
          <w:p w:rsidR="000821EB" w:rsidRPr="00CB376B" w:rsidRDefault="000821EB" w:rsidP="00CB376B">
            <w:pPr>
              <w:keepNext/>
              <w:autoSpaceDE w:val="0"/>
              <w:autoSpaceDN w:val="0"/>
              <w:adjustRightInd w:val="0"/>
              <w:spacing w:before="80" w:after="80"/>
              <w:jc w:val="right"/>
              <w:rPr>
                <w:rFonts w:ascii="Calibri" w:hAnsi="Calibri" w:cs="Calibri"/>
                <w:color w:val="000000"/>
                <w:sz w:val="20"/>
                <w:szCs w:val="20"/>
              </w:rPr>
            </w:pPr>
            <w:r w:rsidRPr="00CB376B">
              <w:rPr>
                <w:rFonts w:ascii="Calibri" w:hAnsi="Calibri" w:cs="Calibri"/>
                <w:color w:val="000000"/>
                <w:sz w:val="20"/>
                <w:szCs w:val="20"/>
              </w:rPr>
              <w:t>-9.95</w:t>
            </w:r>
          </w:p>
        </w:tc>
        <w:tc>
          <w:tcPr>
            <w:tcW w:w="900" w:type="dxa"/>
            <w:tcBorders>
              <w:top w:val="nil"/>
              <w:left w:val="nil"/>
              <w:bottom w:val="nil"/>
              <w:right w:val="nil"/>
            </w:tcBorders>
            <w:shd w:val="clear" w:color="auto" w:fill="FFFFFF"/>
            <w:tcMar>
              <w:left w:w="80" w:type="dxa"/>
              <w:right w:w="80" w:type="dxa"/>
            </w:tcMar>
            <w:vAlign w:val="bottom"/>
          </w:tcPr>
          <w:p w:rsidR="000821EB" w:rsidRPr="00CB376B" w:rsidRDefault="000821EB" w:rsidP="00CB376B">
            <w:pPr>
              <w:keepNext/>
              <w:autoSpaceDE w:val="0"/>
              <w:autoSpaceDN w:val="0"/>
              <w:adjustRightInd w:val="0"/>
              <w:spacing w:before="80" w:after="80"/>
              <w:jc w:val="right"/>
              <w:rPr>
                <w:rFonts w:ascii="Calibri" w:hAnsi="Calibri" w:cs="Calibri"/>
                <w:color w:val="000000"/>
                <w:sz w:val="20"/>
                <w:szCs w:val="20"/>
              </w:rPr>
            </w:pPr>
            <w:r w:rsidRPr="00CB376B">
              <w:rPr>
                <w:rFonts w:ascii="Calibri" w:hAnsi="Calibri" w:cs="Calibri"/>
                <w:color w:val="000000"/>
                <w:sz w:val="20"/>
                <w:szCs w:val="20"/>
              </w:rPr>
              <w:t>117</w:t>
            </w:r>
          </w:p>
        </w:tc>
        <w:tc>
          <w:tcPr>
            <w:tcW w:w="180" w:type="dxa"/>
            <w:tcBorders>
              <w:top w:val="nil"/>
              <w:left w:val="nil"/>
              <w:bottom w:val="nil"/>
              <w:right w:val="nil"/>
            </w:tcBorders>
            <w:shd w:val="clear" w:color="auto" w:fill="FFFFFF"/>
          </w:tcPr>
          <w:p w:rsidR="000821EB" w:rsidRPr="00FB27EB" w:rsidRDefault="000821EB" w:rsidP="00725735">
            <w:pPr>
              <w:keepNext/>
              <w:autoSpaceDE w:val="0"/>
              <w:autoSpaceDN w:val="0"/>
              <w:adjustRightInd w:val="0"/>
              <w:spacing w:before="80" w:after="80"/>
              <w:jc w:val="right"/>
              <w:rPr>
                <w:rFonts w:ascii="Calibri" w:hAnsi="Calibri" w:cs="Calibri"/>
                <w:color w:val="000000"/>
                <w:sz w:val="20"/>
                <w:szCs w:val="20"/>
              </w:rPr>
            </w:pPr>
          </w:p>
        </w:tc>
        <w:tc>
          <w:tcPr>
            <w:tcW w:w="990" w:type="dxa"/>
            <w:tcBorders>
              <w:top w:val="nil"/>
              <w:left w:val="nil"/>
              <w:bottom w:val="nil"/>
              <w:right w:val="nil"/>
            </w:tcBorders>
            <w:shd w:val="clear" w:color="auto" w:fill="FFFFFF"/>
            <w:vAlign w:val="bottom"/>
          </w:tcPr>
          <w:p w:rsidR="000821EB" w:rsidRPr="00FB27EB" w:rsidRDefault="000821EB" w:rsidP="00725735">
            <w:pPr>
              <w:keepNext/>
              <w:autoSpaceDE w:val="0"/>
              <w:autoSpaceDN w:val="0"/>
              <w:adjustRightInd w:val="0"/>
              <w:spacing w:before="80" w:after="80"/>
              <w:jc w:val="right"/>
              <w:rPr>
                <w:rFonts w:ascii="Calibri" w:hAnsi="Calibri" w:cs="Calibri"/>
                <w:color w:val="000000"/>
                <w:sz w:val="20"/>
                <w:szCs w:val="20"/>
              </w:rPr>
            </w:pPr>
            <w:r w:rsidRPr="00FB27EB">
              <w:rPr>
                <w:rFonts w:ascii="Calibri" w:hAnsi="Calibri" w:cs="Calibri"/>
                <w:color w:val="000000"/>
                <w:sz w:val="20"/>
                <w:szCs w:val="20"/>
              </w:rPr>
              <w:t>-2.10%</w:t>
            </w:r>
          </w:p>
        </w:tc>
        <w:tc>
          <w:tcPr>
            <w:tcW w:w="1080" w:type="dxa"/>
            <w:tcBorders>
              <w:top w:val="nil"/>
              <w:left w:val="nil"/>
              <w:bottom w:val="nil"/>
              <w:right w:val="nil"/>
            </w:tcBorders>
            <w:shd w:val="clear" w:color="auto" w:fill="FFFFFF"/>
            <w:vAlign w:val="bottom"/>
          </w:tcPr>
          <w:p w:rsidR="000821EB" w:rsidRPr="00FB27EB" w:rsidRDefault="000821EB" w:rsidP="00725735">
            <w:pPr>
              <w:keepNext/>
              <w:autoSpaceDE w:val="0"/>
              <w:autoSpaceDN w:val="0"/>
              <w:adjustRightInd w:val="0"/>
              <w:spacing w:before="80" w:after="80"/>
              <w:jc w:val="right"/>
              <w:rPr>
                <w:rFonts w:ascii="Calibri" w:hAnsi="Calibri" w:cs="Calibri"/>
                <w:color w:val="000000"/>
                <w:sz w:val="20"/>
                <w:szCs w:val="20"/>
              </w:rPr>
            </w:pPr>
            <w:r w:rsidRPr="00FB27EB">
              <w:rPr>
                <w:rFonts w:ascii="Calibri" w:hAnsi="Calibri" w:cs="Calibri"/>
                <w:color w:val="000000"/>
                <w:sz w:val="20"/>
                <w:szCs w:val="20"/>
              </w:rPr>
              <w:t>-9.88</w:t>
            </w:r>
          </w:p>
        </w:tc>
        <w:tc>
          <w:tcPr>
            <w:tcW w:w="810" w:type="dxa"/>
            <w:tcBorders>
              <w:top w:val="nil"/>
              <w:left w:val="nil"/>
              <w:bottom w:val="nil"/>
              <w:right w:val="nil"/>
            </w:tcBorders>
            <w:shd w:val="clear" w:color="auto" w:fill="FFFFFF"/>
            <w:vAlign w:val="bottom"/>
          </w:tcPr>
          <w:p w:rsidR="000821EB" w:rsidRPr="00FB27EB" w:rsidRDefault="000821EB" w:rsidP="00725735">
            <w:pPr>
              <w:keepNext/>
              <w:autoSpaceDE w:val="0"/>
              <w:autoSpaceDN w:val="0"/>
              <w:adjustRightInd w:val="0"/>
              <w:spacing w:before="80" w:after="80"/>
              <w:jc w:val="right"/>
              <w:rPr>
                <w:rFonts w:ascii="Calibri" w:hAnsi="Calibri" w:cs="Calibri"/>
                <w:color w:val="000000"/>
                <w:sz w:val="20"/>
                <w:szCs w:val="20"/>
              </w:rPr>
            </w:pPr>
            <w:r w:rsidRPr="00FB27EB">
              <w:rPr>
                <w:rFonts w:ascii="Calibri" w:hAnsi="Calibri" w:cs="Calibri"/>
                <w:color w:val="000000"/>
                <w:sz w:val="20"/>
                <w:szCs w:val="20"/>
              </w:rPr>
              <w:t>17.3</w:t>
            </w:r>
          </w:p>
        </w:tc>
      </w:tr>
      <w:tr w:rsidR="00FB27EB" w:rsidRPr="00FB27EB" w:rsidTr="000323A3">
        <w:trPr>
          <w:cantSplit/>
        </w:trPr>
        <w:tc>
          <w:tcPr>
            <w:tcW w:w="810" w:type="dxa"/>
            <w:vMerge/>
            <w:tcBorders>
              <w:top w:val="nil"/>
              <w:left w:val="nil"/>
              <w:bottom w:val="nil"/>
              <w:right w:val="nil"/>
            </w:tcBorders>
            <w:shd w:val="clear" w:color="auto" w:fill="FFFFFF"/>
            <w:tcMar>
              <w:left w:w="80" w:type="dxa"/>
              <w:right w:w="80" w:type="dxa"/>
            </w:tcMar>
          </w:tcPr>
          <w:p w:rsidR="000821EB" w:rsidRPr="00CB376B" w:rsidRDefault="000821EB" w:rsidP="00CB376B">
            <w:pPr>
              <w:keepNext/>
              <w:autoSpaceDE w:val="0"/>
              <w:autoSpaceDN w:val="0"/>
              <w:adjustRightInd w:val="0"/>
              <w:rPr>
                <w:rFonts w:ascii="Times New Roman" w:hAnsi="Times New Roman"/>
                <w:sz w:val="20"/>
                <w:szCs w:val="20"/>
              </w:rPr>
            </w:pPr>
          </w:p>
        </w:tc>
        <w:tc>
          <w:tcPr>
            <w:tcW w:w="1530" w:type="dxa"/>
            <w:tcBorders>
              <w:top w:val="nil"/>
              <w:left w:val="nil"/>
              <w:bottom w:val="nil"/>
              <w:right w:val="nil"/>
            </w:tcBorders>
            <w:shd w:val="clear" w:color="auto" w:fill="FFFFFF"/>
            <w:tcMar>
              <w:left w:w="80" w:type="dxa"/>
              <w:right w:w="80" w:type="dxa"/>
            </w:tcMar>
          </w:tcPr>
          <w:p w:rsidR="000821EB" w:rsidRPr="00CB376B" w:rsidRDefault="000821EB" w:rsidP="00CB376B">
            <w:pPr>
              <w:keepNext/>
              <w:autoSpaceDE w:val="0"/>
              <w:autoSpaceDN w:val="0"/>
              <w:adjustRightInd w:val="0"/>
              <w:spacing w:before="80" w:after="80"/>
              <w:rPr>
                <w:rFonts w:ascii="Calibri" w:hAnsi="Calibri" w:cs="Calibri"/>
                <w:b/>
                <w:bCs/>
                <w:color w:val="000000"/>
                <w:sz w:val="20"/>
                <w:szCs w:val="20"/>
              </w:rPr>
            </w:pPr>
            <w:r w:rsidRPr="00CB376B">
              <w:rPr>
                <w:rFonts w:ascii="Calibri" w:hAnsi="Calibri" w:cs="Calibri"/>
                <w:b/>
                <w:bCs/>
                <w:color w:val="000000"/>
                <w:sz w:val="20"/>
                <w:szCs w:val="20"/>
              </w:rPr>
              <w:t>Unadjusted</w:t>
            </w:r>
          </w:p>
        </w:tc>
        <w:tc>
          <w:tcPr>
            <w:tcW w:w="900" w:type="dxa"/>
            <w:tcBorders>
              <w:top w:val="nil"/>
              <w:left w:val="nil"/>
              <w:bottom w:val="nil"/>
              <w:right w:val="nil"/>
            </w:tcBorders>
            <w:shd w:val="clear" w:color="auto" w:fill="FFFFFF"/>
            <w:tcMar>
              <w:left w:w="80" w:type="dxa"/>
              <w:right w:w="80" w:type="dxa"/>
            </w:tcMar>
          </w:tcPr>
          <w:p w:rsidR="000821EB" w:rsidRPr="00FB27EB" w:rsidRDefault="000821EB" w:rsidP="00725735">
            <w:pPr>
              <w:keepNext/>
              <w:autoSpaceDE w:val="0"/>
              <w:autoSpaceDN w:val="0"/>
              <w:adjustRightInd w:val="0"/>
              <w:spacing w:before="80" w:after="80"/>
              <w:rPr>
                <w:rFonts w:ascii="Calibri" w:hAnsi="Calibri" w:cs="Calibri"/>
                <w:b/>
                <w:bCs/>
                <w:color w:val="000000"/>
                <w:sz w:val="20"/>
                <w:szCs w:val="20"/>
              </w:rPr>
            </w:pPr>
            <w:r w:rsidRPr="00FB27EB">
              <w:rPr>
                <w:rFonts w:ascii="Calibri" w:hAnsi="Calibri" w:cs="Calibri"/>
                <w:b/>
                <w:bCs/>
                <w:color w:val="000000"/>
                <w:sz w:val="20"/>
                <w:szCs w:val="20"/>
              </w:rPr>
              <w:t>0¢</w:t>
            </w:r>
          </w:p>
        </w:tc>
        <w:tc>
          <w:tcPr>
            <w:tcW w:w="1080" w:type="dxa"/>
            <w:tcBorders>
              <w:top w:val="nil"/>
              <w:left w:val="nil"/>
              <w:bottom w:val="nil"/>
              <w:right w:val="nil"/>
            </w:tcBorders>
            <w:shd w:val="clear" w:color="auto" w:fill="FFFFFF"/>
            <w:tcMar>
              <w:left w:w="80" w:type="dxa"/>
              <w:right w:w="80" w:type="dxa"/>
            </w:tcMar>
            <w:vAlign w:val="bottom"/>
          </w:tcPr>
          <w:p w:rsidR="000821EB" w:rsidRPr="00CB376B" w:rsidRDefault="000821EB" w:rsidP="00CB376B">
            <w:pPr>
              <w:keepNext/>
              <w:autoSpaceDE w:val="0"/>
              <w:autoSpaceDN w:val="0"/>
              <w:adjustRightInd w:val="0"/>
              <w:spacing w:before="80" w:after="80"/>
              <w:jc w:val="right"/>
              <w:rPr>
                <w:rFonts w:ascii="Calibri" w:hAnsi="Calibri" w:cs="Calibri"/>
                <w:color w:val="000000"/>
                <w:sz w:val="20"/>
                <w:szCs w:val="20"/>
              </w:rPr>
            </w:pPr>
            <w:r w:rsidRPr="00CB376B">
              <w:rPr>
                <w:rFonts w:ascii="Calibri" w:hAnsi="Calibri" w:cs="Calibri"/>
                <w:color w:val="000000"/>
                <w:sz w:val="20"/>
                <w:szCs w:val="20"/>
              </w:rPr>
              <w:t>-0.41%</w:t>
            </w:r>
          </w:p>
        </w:tc>
        <w:tc>
          <w:tcPr>
            <w:tcW w:w="1080" w:type="dxa"/>
            <w:tcBorders>
              <w:top w:val="nil"/>
              <w:left w:val="nil"/>
              <w:bottom w:val="nil"/>
              <w:right w:val="nil"/>
            </w:tcBorders>
            <w:shd w:val="clear" w:color="auto" w:fill="FFFFFF"/>
            <w:tcMar>
              <w:left w:w="80" w:type="dxa"/>
              <w:right w:w="80" w:type="dxa"/>
            </w:tcMar>
            <w:vAlign w:val="bottom"/>
          </w:tcPr>
          <w:p w:rsidR="000821EB" w:rsidRPr="00CB376B" w:rsidRDefault="000821EB" w:rsidP="00CB376B">
            <w:pPr>
              <w:keepNext/>
              <w:autoSpaceDE w:val="0"/>
              <w:autoSpaceDN w:val="0"/>
              <w:adjustRightInd w:val="0"/>
              <w:spacing w:before="80" w:after="80"/>
              <w:jc w:val="right"/>
              <w:rPr>
                <w:rFonts w:ascii="Calibri" w:hAnsi="Calibri" w:cs="Calibri"/>
                <w:color w:val="000000"/>
                <w:sz w:val="20"/>
                <w:szCs w:val="20"/>
              </w:rPr>
            </w:pPr>
            <w:r w:rsidRPr="00CB376B">
              <w:rPr>
                <w:rFonts w:ascii="Calibri" w:hAnsi="Calibri" w:cs="Calibri"/>
                <w:color w:val="000000"/>
                <w:sz w:val="20"/>
                <w:szCs w:val="20"/>
              </w:rPr>
              <w:t>-0.95</w:t>
            </w:r>
          </w:p>
        </w:tc>
        <w:tc>
          <w:tcPr>
            <w:tcW w:w="900" w:type="dxa"/>
            <w:tcBorders>
              <w:top w:val="nil"/>
              <w:left w:val="nil"/>
              <w:bottom w:val="nil"/>
              <w:right w:val="nil"/>
            </w:tcBorders>
            <w:shd w:val="clear" w:color="auto" w:fill="FFFFFF"/>
            <w:tcMar>
              <w:left w:w="80" w:type="dxa"/>
              <w:right w:w="80" w:type="dxa"/>
            </w:tcMar>
            <w:vAlign w:val="bottom"/>
          </w:tcPr>
          <w:p w:rsidR="000821EB" w:rsidRPr="00CB376B" w:rsidRDefault="000821EB" w:rsidP="00CB376B">
            <w:pPr>
              <w:keepNext/>
              <w:autoSpaceDE w:val="0"/>
              <w:autoSpaceDN w:val="0"/>
              <w:adjustRightInd w:val="0"/>
              <w:spacing w:before="80" w:after="80"/>
              <w:jc w:val="right"/>
              <w:rPr>
                <w:rFonts w:ascii="Calibri" w:hAnsi="Calibri" w:cs="Calibri"/>
                <w:color w:val="000000"/>
                <w:sz w:val="20"/>
                <w:szCs w:val="20"/>
              </w:rPr>
            </w:pPr>
            <w:r w:rsidRPr="00CB376B">
              <w:rPr>
                <w:rFonts w:ascii="Calibri" w:hAnsi="Calibri" w:cs="Calibri"/>
                <w:color w:val="000000"/>
                <w:sz w:val="20"/>
                <w:szCs w:val="20"/>
              </w:rPr>
              <w:t>98</w:t>
            </w:r>
          </w:p>
        </w:tc>
        <w:tc>
          <w:tcPr>
            <w:tcW w:w="180" w:type="dxa"/>
            <w:tcBorders>
              <w:top w:val="nil"/>
              <w:left w:val="nil"/>
              <w:bottom w:val="nil"/>
              <w:right w:val="nil"/>
            </w:tcBorders>
            <w:shd w:val="clear" w:color="auto" w:fill="FFFFFF"/>
          </w:tcPr>
          <w:p w:rsidR="000821EB" w:rsidRPr="00FB27EB" w:rsidRDefault="000821EB" w:rsidP="00725735">
            <w:pPr>
              <w:keepNext/>
              <w:autoSpaceDE w:val="0"/>
              <w:autoSpaceDN w:val="0"/>
              <w:adjustRightInd w:val="0"/>
              <w:spacing w:before="80" w:after="80"/>
              <w:jc w:val="right"/>
              <w:rPr>
                <w:rFonts w:ascii="Calibri" w:hAnsi="Calibri" w:cs="Calibri"/>
                <w:color w:val="000000"/>
                <w:sz w:val="20"/>
                <w:szCs w:val="20"/>
              </w:rPr>
            </w:pPr>
          </w:p>
        </w:tc>
        <w:tc>
          <w:tcPr>
            <w:tcW w:w="990" w:type="dxa"/>
            <w:tcBorders>
              <w:top w:val="nil"/>
              <w:left w:val="nil"/>
              <w:bottom w:val="nil"/>
              <w:right w:val="nil"/>
            </w:tcBorders>
            <w:shd w:val="clear" w:color="auto" w:fill="FFFFFF"/>
            <w:vAlign w:val="bottom"/>
          </w:tcPr>
          <w:p w:rsidR="000821EB" w:rsidRPr="00FB27EB" w:rsidRDefault="000821EB" w:rsidP="00725735">
            <w:pPr>
              <w:keepNext/>
              <w:autoSpaceDE w:val="0"/>
              <w:autoSpaceDN w:val="0"/>
              <w:adjustRightInd w:val="0"/>
              <w:spacing w:before="80" w:after="80"/>
              <w:jc w:val="right"/>
              <w:rPr>
                <w:rFonts w:ascii="Calibri" w:hAnsi="Calibri" w:cs="Calibri"/>
                <w:color w:val="000000"/>
                <w:sz w:val="20"/>
                <w:szCs w:val="20"/>
              </w:rPr>
            </w:pPr>
            <w:r w:rsidRPr="00FB27EB">
              <w:rPr>
                <w:rFonts w:ascii="Calibri" w:hAnsi="Calibri" w:cs="Calibri"/>
                <w:color w:val="000000"/>
                <w:sz w:val="20"/>
                <w:szCs w:val="20"/>
              </w:rPr>
              <w:t>-0.37%</w:t>
            </w:r>
          </w:p>
        </w:tc>
        <w:tc>
          <w:tcPr>
            <w:tcW w:w="1080" w:type="dxa"/>
            <w:tcBorders>
              <w:top w:val="nil"/>
              <w:left w:val="nil"/>
              <w:bottom w:val="nil"/>
              <w:right w:val="nil"/>
            </w:tcBorders>
            <w:shd w:val="clear" w:color="auto" w:fill="FFFFFF"/>
            <w:vAlign w:val="bottom"/>
          </w:tcPr>
          <w:p w:rsidR="000821EB" w:rsidRPr="00FB27EB" w:rsidRDefault="000821EB" w:rsidP="00725735">
            <w:pPr>
              <w:keepNext/>
              <w:autoSpaceDE w:val="0"/>
              <w:autoSpaceDN w:val="0"/>
              <w:adjustRightInd w:val="0"/>
              <w:spacing w:before="80" w:after="80"/>
              <w:jc w:val="right"/>
              <w:rPr>
                <w:rFonts w:ascii="Calibri" w:hAnsi="Calibri" w:cs="Calibri"/>
                <w:color w:val="000000"/>
                <w:sz w:val="20"/>
                <w:szCs w:val="20"/>
              </w:rPr>
            </w:pPr>
            <w:r w:rsidRPr="00FB27EB">
              <w:rPr>
                <w:rFonts w:ascii="Calibri" w:hAnsi="Calibri" w:cs="Calibri"/>
                <w:color w:val="000000"/>
                <w:sz w:val="20"/>
                <w:szCs w:val="20"/>
              </w:rPr>
              <w:t>-1.17</w:t>
            </w:r>
          </w:p>
        </w:tc>
        <w:tc>
          <w:tcPr>
            <w:tcW w:w="810" w:type="dxa"/>
            <w:tcBorders>
              <w:top w:val="nil"/>
              <w:left w:val="nil"/>
              <w:bottom w:val="nil"/>
              <w:right w:val="nil"/>
            </w:tcBorders>
            <w:shd w:val="clear" w:color="auto" w:fill="FFFFFF"/>
            <w:vAlign w:val="bottom"/>
          </w:tcPr>
          <w:p w:rsidR="000821EB" w:rsidRPr="00FB27EB" w:rsidRDefault="000821EB" w:rsidP="00725735">
            <w:pPr>
              <w:keepNext/>
              <w:autoSpaceDE w:val="0"/>
              <w:autoSpaceDN w:val="0"/>
              <w:adjustRightInd w:val="0"/>
              <w:spacing w:before="80" w:after="80"/>
              <w:jc w:val="right"/>
              <w:rPr>
                <w:rFonts w:ascii="Calibri" w:hAnsi="Calibri" w:cs="Calibri"/>
                <w:color w:val="000000"/>
                <w:sz w:val="20"/>
                <w:szCs w:val="20"/>
              </w:rPr>
            </w:pPr>
            <w:r w:rsidRPr="00FB27EB">
              <w:rPr>
                <w:rFonts w:ascii="Calibri" w:hAnsi="Calibri" w:cs="Calibri"/>
                <w:color w:val="000000"/>
                <w:sz w:val="20"/>
                <w:szCs w:val="20"/>
              </w:rPr>
              <w:t>14.0</w:t>
            </w:r>
          </w:p>
        </w:tc>
      </w:tr>
      <w:tr w:rsidR="00FB27EB" w:rsidRPr="00FB27EB" w:rsidTr="000323A3">
        <w:trPr>
          <w:cantSplit/>
        </w:trPr>
        <w:tc>
          <w:tcPr>
            <w:tcW w:w="810" w:type="dxa"/>
            <w:vMerge/>
            <w:tcBorders>
              <w:top w:val="nil"/>
              <w:left w:val="nil"/>
              <w:bottom w:val="nil"/>
              <w:right w:val="nil"/>
            </w:tcBorders>
            <w:shd w:val="clear" w:color="auto" w:fill="FFFFFF"/>
            <w:tcMar>
              <w:left w:w="80" w:type="dxa"/>
              <w:right w:w="80" w:type="dxa"/>
            </w:tcMar>
          </w:tcPr>
          <w:p w:rsidR="000821EB" w:rsidRPr="00CB376B" w:rsidRDefault="000821EB" w:rsidP="00CB376B">
            <w:pPr>
              <w:autoSpaceDE w:val="0"/>
              <w:autoSpaceDN w:val="0"/>
              <w:adjustRightInd w:val="0"/>
              <w:rPr>
                <w:rFonts w:ascii="Times New Roman" w:hAnsi="Times New Roman"/>
                <w:sz w:val="20"/>
                <w:szCs w:val="20"/>
              </w:rPr>
            </w:pPr>
          </w:p>
        </w:tc>
        <w:tc>
          <w:tcPr>
            <w:tcW w:w="1530" w:type="dxa"/>
            <w:tcBorders>
              <w:top w:val="nil"/>
              <w:left w:val="nil"/>
              <w:bottom w:val="nil"/>
              <w:right w:val="nil"/>
            </w:tcBorders>
            <w:shd w:val="clear" w:color="auto" w:fill="FFFFFF"/>
            <w:tcMar>
              <w:left w:w="80" w:type="dxa"/>
              <w:right w:w="80" w:type="dxa"/>
            </w:tcMar>
          </w:tcPr>
          <w:p w:rsidR="000821EB" w:rsidRPr="00CB376B" w:rsidRDefault="000821EB" w:rsidP="00CB376B">
            <w:pPr>
              <w:autoSpaceDE w:val="0"/>
              <w:autoSpaceDN w:val="0"/>
              <w:adjustRightInd w:val="0"/>
              <w:spacing w:before="80" w:after="80"/>
              <w:rPr>
                <w:rFonts w:ascii="Calibri" w:hAnsi="Calibri" w:cs="Calibri"/>
                <w:b/>
                <w:bCs/>
                <w:color w:val="000000"/>
                <w:sz w:val="20"/>
                <w:szCs w:val="20"/>
              </w:rPr>
            </w:pPr>
            <w:r w:rsidRPr="00CB376B">
              <w:rPr>
                <w:rFonts w:ascii="Calibri" w:hAnsi="Calibri" w:cs="Calibri"/>
                <w:b/>
                <w:bCs/>
                <w:color w:val="000000"/>
                <w:sz w:val="20"/>
                <w:szCs w:val="20"/>
              </w:rPr>
              <w:t>Adjusted</w:t>
            </w:r>
          </w:p>
        </w:tc>
        <w:tc>
          <w:tcPr>
            <w:tcW w:w="900" w:type="dxa"/>
            <w:tcBorders>
              <w:top w:val="nil"/>
              <w:left w:val="nil"/>
              <w:bottom w:val="nil"/>
              <w:right w:val="nil"/>
            </w:tcBorders>
            <w:shd w:val="clear" w:color="auto" w:fill="FFFFFF"/>
            <w:tcMar>
              <w:left w:w="80" w:type="dxa"/>
              <w:right w:w="80" w:type="dxa"/>
            </w:tcMar>
          </w:tcPr>
          <w:p w:rsidR="000821EB" w:rsidRPr="00FB27EB" w:rsidRDefault="000821EB" w:rsidP="00725735">
            <w:pPr>
              <w:autoSpaceDE w:val="0"/>
              <w:autoSpaceDN w:val="0"/>
              <w:adjustRightInd w:val="0"/>
              <w:spacing w:before="80" w:after="80"/>
              <w:rPr>
                <w:rFonts w:ascii="Calibri" w:hAnsi="Calibri" w:cs="Calibri"/>
                <w:b/>
                <w:bCs/>
                <w:color w:val="000000"/>
                <w:sz w:val="20"/>
                <w:szCs w:val="20"/>
              </w:rPr>
            </w:pPr>
            <w:r w:rsidRPr="00FB27EB">
              <w:rPr>
                <w:rFonts w:ascii="Calibri" w:hAnsi="Calibri" w:cs="Calibri"/>
                <w:b/>
                <w:bCs/>
                <w:color w:val="000000"/>
                <w:sz w:val="20"/>
                <w:szCs w:val="20"/>
              </w:rPr>
              <w:t>0.275¢</w:t>
            </w:r>
          </w:p>
        </w:tc>
        <w:tc>
          <w:tcPr>
            <w:tcW w:w="1080" w:type="dxa"/>
            <w:tcBorders>
              <w:top w:val="nil"/>
              <w:left w:val="nil"/>
              <w:bottom w:val="nil"/>
              <w:right w:val="nil"/>
            </w:tcBorders>
            <w:shd w:val="clear" w:color="auto" w:fill="FFFFFF"/>
            <w:tcMar>
              <w:left w:w="80" w:type="dxa"/>
              <w:right w:w="80" w:type="dxa"/>
            </w:tcMar>
            <w:vAlign w:val="bottom"/>
          </w:tcPr>
          <w:p w:rsidR="000821EB" w:rsidRPr="00CB376B" w:rsidRDefault="000821EB" w:rsidP="00CB376B">
            <w:pPr>
              <w:autoSpaceDE w:val="0"/>
              <w:autoSpaceDN w:val="0"/>
              <w:adjustRightInd w:val="0"/>
              <w:spacing w:before="80" w:after="80"/>
              <w:jc w:val="right"/>
              <w:rPr>
                <w:rFonts w:ascii="Calibri" w:hAnsi="Calibri" w:cs="Calibri"/>
                <w:color w:val="000000"/>
                <w:sz w:val="20"/>
                <w:szCs w:val="20"/>
              </w:rPr>
            </w:pPr>
            <w:r w:rsidRPr="00CB376B">
              <w:rPr>
                <w:rFonts w:ascii="Calibri" w:hAnsi="Calibri" w:cs="Calibri"/>
                <w:color w:val="000000"/>
                <w:sz w:val="20"/>
                <w:szCs w:val="20"/>
              </w:rPr>
              <w:t>-1.83%</w:t>
            </w:r>
          </w:p>
        </w:tc>
        <w:tc>
          <w:tcPr>
            <w:tcW w:w="1080" w:type="dxa"/>
            <w:tcBorders>
              <w:top w:val="nil"/>
              <w:left w:val="nil"/>
              <w:bottom w:val="nil"/>
              <w:right w:val="nil"/>
            </w:tcBorders>
            <w:shd w:val="clear" w:color="auto" w:fill="FFFFFF"/>
            <w:tcMar>
              <w:left w:w="80" w:type="dxa"/>
              <w:right w:w="80" w:type="dxa"/>
            </w:tcMar>
            <w:vAlign w:val="bottom"/>
          </w:tcPr>
          <w:p w:rsidR="000821EB" w:rsidRPr="00CB376B" w:rsidRDefault="000821EB" w:rsidP="00CB376B">
            <w:pPr>
              <w:autoSpaceDE w:val="0"/>
              <w:autoSpaceDN w:val="0"/>
              <w:adjustRightInd w:val="0"/>
              <w:spacing w:before="80" w:after="80"/>
              <w:jc w:val="right"/>
              <w:rPr>
                <w:rFonts w:ascii="Calibri" w:hAnsi="Calibri" w:cs="Calibri"/>
                <w:color w:val="000000"/>
                <w:sz w:val="20"/>
                <w:szCs w:val="20"/>
              </w:rPr>
            </w:pPr>
            <w:r w:rsidRPr="00CB376B">
              <w:rPr>
                <w:rFonts w:ascii="Calibri" w:hAnsi="Calibri" w:cs="Calibri"/>
                <w:color w:val="000000"/>
                <w:sz w:val="20"/>
                <w:szCs w:val="20"/>
              </w:rPr>
              <w:t>-3.51</w:t>
            </w:r>
          </w:p>
        </w:tc>
        <w:tc>
          <w:tcPr>
            <w:tcW w:w="900" w:type="dxa"/>
            <w:tcBorders>
              <w:top w:val="nil"/>
              <w:left w:val="nil"/>
              <w:bottom w:val="nil"/>
              <w:right w:val="nil"/>
            </w:tcBorders>
            <w:shd w:val="clear" w:color="auto" w:fill="FFFFFF"/>
            <w:tcMar>
              <w:left w:w="80" w:type="dxa"/>
              <w:right w:w="80" w:type="dxa"/>
            </w:tcMar>
            <w:vAlign w:val="bottom"/>
          </w:tcPr>
          <w:p w:rsidR="000821EB" w:rsidRPr="00CB376B" w:rsidRDefault="000821EB" w:rsidP="00CB376B">
            <w:pPr>
              <w:autoSpaceDE w:val="0"/>
              <w:autoSpaceDN w:val="0"/>
              <w:adjustRightInd w:val="0"/>
              <w:spacing w:before="80" w:after="80"/>
              <w:jc w:val="right"/>
              <w:rPr>
                <w:rFonts w:ascii="Calibri" w:hAnsi="Calibri" w:cs="Calibri"/>
                <w:color w:val="000000"/>
                <w:sz w:val="20"/>
                <w:szCs w:val="20"/>
              </w:rPr>
            </w:pPr>
            <w:r w:rsidRPr="00CB376B">
              <w:rPr>
                <w:rFonts w:ascii="Calibri" w:hAnsi="Calibri" w:cs="Calibri"/>
                <w:color w:val="000000"/>
                <w:sz w:val="20"/>
                <w:szCs w:val="20"/>
              </w:rPr>
              <w:t>112</w:t>
            </w:r>
          </w:p>
        </w:tc>
        <w:tc>
          <w:tcPr>
            <w:tcW w:w="180" w:type="dxa"/>
            <w:tcBorders>
              <w:top w:val="nil"/>
              <w:left w:val="nil"/>
              <w:bottom w:val="nil"/>
              <w:right w:val="nil"/>
            </w:tcBorders>
            <w:shd w:val="clear" w:color="auto" w:fill="FFFFFF"/>
          </w:tcPr>
          <w:p w:rsidR="000821EB" w:rsidRPr="00FB27EB" w:rsidRDefault="000821EB" w:rsidP="00725735">
            <w:pPr>
              <w:keepNext/>
              <w:autoSpaceDE w:val="0"/>
              <w:autoSpaceDN w:val="0"/>
              <w:adjustRightInd w:val="0"/>
              <w:spacing w:before="80" w:after="80"/>
              <w:jc w:val="right"/>
              <w:rPr>
                <w:rFonts w:ascii="Calibri" w:hAnsi="Calibri" w:cs="Calibri"/>
                <w:color w:val="000000"/>
                <w:sz w:val="20"/>
                <w:szCs w:val="20"/>
              </w:rPr>
            </w:pPr>
          </w:p>
        </w:tc>
        <w:tc>
          <w:tcPr>
            <w:tcW w:w="990" w:type="dxa"/>
            <w:tcBorders>
              <w:top w:val="nil"/>
              <w:left w:val="nil"/>
              <w:bottom w:val="nil"/>
              <w:right w:val="nil"/>
            </w:tcBorders>
            <w:shd w:val="clear" w:color="auto" w:fill="FFFFFF"/>
            <w:vAlign w:val="bottom"/>
          </w:tcPr>
          <w:p w:rsidR="000821EB" w:rsidRPr="00FB27EB" w:rsidRDefault="000821EB" w:rsidP="00725735">
            <w:pPr>
              <w:keepNext/>
              <w:autoSpaceDE w:val="0"/>
              <w:autoSpaceDN w:val="0"/>
              <w:adjustRightInd w:val="0"/>
              <w:spacing w:before="80" w:after="80"/>
              <w:jc w:val="right"/>
              <w:rPr>
                <w:rFonts w:ascii="Calibri" w:hAnsi="Calibri" w:cs="Calibri"/>
                <w:color w:val="000000"/>
                <w:sz w:val="20"/>
                <w:szCs w:val="20"/>
              </w:rPr>
            </w:pPr>
            <w:r w:rsidRPr="00FB27EB">
              <w:rPr>
                <w:rFonts w:ascii="Calibri" w:hAnsi="Calibri" w:cs="Calibri"/>
                <w:color w:val="000000"/>
                <w:sz w:val="20"/>
                <w:szCs w:val="20"/>
              </w:rPr>
              <w:t>-1.04%</w:t>
            </w:r>
          </w:p>
        </w:tc>
        <w:tc>
          <w:tcPr>
            <w:tcW w:w="1080" w:type="dxa"/>
            <w:tcBorders>
              <w:top w:val="nil"/>
              <w:left w:val="nil"/>
              <w:bottom w:val="nil"/>
              <w:right w:val="nil"/>
            </w:tcBorders>
            <w:shd w:val="clear" w:color="auto" w:fill="FFFFFF"/>
            <w:vAlign w:val="bottom"/>
          </w:tcPr>
          <w:p w:rsidR="000821EB" w:rsidRPr="00FB27EB" w:rsidRDefault="000821EB" w:rsidP="00725735">
            <w:pPr>
              <w:keepNext/>
              <w:autoSpaceDE w:val="0"/>
              <w:autoSpaceDN w:val="0"/>
              <w:adjustRightInd w:val="0"/>
              <w:spacing w:before="80" w:after="80"/>
              <w:jc w:val="right"/>
              <w:rPr>
                <w:rFonts w:ascii="Calibri" w:hAnsi="Calibri" w:cs="Calibri"/>
                <w:color w:val="000000"/>
                <w:sz w:val="20"/>
                <w:szCs w:val="20"/>
              </w:rPr>
            </w:pPr>
            <w:r w:rsidRPr="00FB27EB">
              <w:rPr>
                <w:rFonts w:ascii="Calibri" w:hAnsi="Calibri" w:cs="Calibri"/>
                <w:color w:val="000000"/>
                <w:sz w:val="20"/>
                <w:szCs w:val="20"/>
              </w:rPr>
              <w:t>-3.10</w:t>
            </w:r>
          </w:p>
        </w:tc>
        <w:tc>
          <w:tcPr>
            <w:tcW w:w="810" w:type="dxa"/>
            <w:tcBorders>
              <w:top w:val="nil"/>
              <w:left w:val="nil"/>
              <w:bottom w:val="nil"/>
              <w:right w:val="nil"/>
            </w:tcBorders>
            <w:shd w:val="clear" w:color="auto" w:fill="FFFFFF"/>
            <w:vAlign w:val="bottom"/>
          </w:tcPr>
          <w:p w:rsidR="000821EB" w:rsidRPr="00FB27EB" w:rsidRDefault="000821EB" w:rsidP="00725735">
            <w:pPr>
              <w:keepNext/>
              <w:autoSpaceDE w:val="0"/>
              <w:autoSpaceDN w:val="0"/>
              <w:adjustRightInd w:val="0"/>
              <w:spacing w:before="80" w:after="80"/>
              <w:jc w:val="right"/>
              <w:rPr>
                <w:rFonts w:ascii="Calibri" w:hAnsi="Calibri" w:cs="Calibri"/>
                <w:color w:val="000000"/>
                <w:sz w:val="20"/>
                <w:szCs w:val="20"/>
              </w:rPr>
            </w:pPr>
            <w:r w:rsidRPr="00FB27EB">
              <w:rPr>
                <w:rFonts w:ascii="Calibri" w:hAnsi="Calibri" w:cs="Calibri"/>
                <w:color w:val="000000"/>
                <w:sz w:val="20"/>
                <w:szCs w:val="20"/>
              </w:rPr>
              <w:t>15.9</w:t>
            </w:r>
          </w:p>
        </w:tc>
      </w:tr>
      <w:tr w:rsidR="00FB27EB" w:rsidRPr="00FB27EB" w:rsidTr="000323A3">
        <w:trPr>
          <w:cantSplit/>
        </w:trPr>
        <w:tc>
          <w:tcPr>
            <w:tcW w:w="810" w:type="dxa"/>
            <w:vMerge w:val="restart"/>
            <w:tcBorders>
              <w:top w:val="nil"/>
              <w:left w:val="nil"/>
              <w:bottom w:val="nil"/>
              <w:right w:val="nil"/>
            </w:tcBorders>
            <w:shd w:val="clear" w:color="auto" w:fill="FFFFFF"/>
            <w:tcMar>
              <w:left w:w="80" w:type="dxa"/>
              <w:right w:w="80" w:type="dxa"/>
            </w:tcMar>
          </w:tcPr>
          <w:p w:rsidR="000821EB" w:rsidRPr="00CB376B" w:rsidRDefault="000821EB" w:rsidP="00CB376B">
            <w:pPr>
              <w:keepNext/>
              <w:autoSpaceDE w:val="0"/>
              <w:autoSpaceDN w:val="0"/>
              <w:adjustRightInd w:val="0"/>
              <w:spacing w:before="80" w:after="80"/>
              <w:rPr>
                <w:rFonts w:ascii="Calibri" w:hAnsi="Calibri" w:cs="Calibri"/>
                <w:b/>
                <w:bCs/>
                <w:color w:val="000000"/>
                <w:sz w:val="20"/>
                <w:szCs w:val="20"/>
              </w:rPr>
            </w:pPr>
            <w:r w:rsidRPr="00CB376B">
              <w:rPr>
                <w:rFonts w:ascii="Calibri" w:hAnsi="Calibri" w:cs="Calibri"/>
                <w:b/>
                <w:bCs/>
                <w:color w:val="000000"/>
                <w:sz w:val="20"/>
                <w:szCs w:val="20"/>
              </w:rPr>
              <w:t>5</w:t>
            </w:r>
          </w:p>
        </w:tc>
        <w:tc>
          <w:tcPr>
            <w:tcW w:w="1530" w:type="dxa"/>
            <w:tcBorders>
              <w:top w:val="nil"/>
              <w:left w:val="nil"/>
              <w:bottom w:val="nil"/>
              <w:right w:val="nil"/>
            </w:tcBorders>
            <w:shd w:val="clear" w:color="auto" w:fill="FFFFFF"/>
            <w:tcMar>
              <w:left w:w="80" w:type="dxa"/>
              <w:right w:w="80" w:type="dxa"/>
            </w:tcMar>
          </w:tcPr>
          <w:p w:rsidR="000821EB" w:rsidRPr="00CB376B" w:rsidRDefault="000821EB" w:rsidP="00CB376B">
            <w:pPr>
              <w:keepNext/>
              <w:autoSpaceDE w:val="0"/>
              <w:autoSpaceDN w:val="0"/>
              <w:adjustRightInd w:val="0"/>
              <w:spacing w:before="80" w:after="80"/>
              <w:rPr>
                <w:rFonts w:ascii="Calibri" w:hAnsi="Calibri" w:cs="Calibri"/>
                <w:b/>
                <w:bCs/>
                <w:color w:val="000000"/>
                <w:sz w:val="20"/>
                <w:szCs w:val="20"/>
              </w:rPr>
            </w:pPr>
            <w:r w:rsidRPr="00CB376B">
              <w:rPr>
                <w:rFonts w:ascii="Calibri" w:hAnsi="Calibri" w:cs="Calibri"/>
                <w:b/>
                <w:bCs/>
                <w:color w:val="000000"/>
                <w:sz w:val="20"/>
                <w:szCs w:val="20"/>
              </w:rPr>
              <w:t>Quote midpoint</w:t>
            </w:r>
          </w:p>
        </w:tc>
        <w:tc>
          <w:tcPr>
            <w:tcW w:w="900" w:type="dxa"/>
            <w:tcBorders>
              <w:top w:val="nil"/>
              <w:left w:val="nil"/>
              <w:bottom w:val="nil"/>
              <w:right w:val="nil"/>
            </w:tcBorders>
            <w:shd w:val="clear" w:color="auto" w:fill="FFFFFF"/>
            <w:tcMar>
              <w:left w:w="80" w:type="dxa"/>
              <w:right w:w="80" w:type="dxa"/>
            </w:tcMar>
          </w:tcPr>
          <w:p w:rsidR="000821EB" w:rsidRPr="00FB27EB" w:rsidRDefault="000821EB" w:rsidP="00725735">
            <w:pPr>
              <w:keepNext/>
              <w:autoSpaceDE w:val="0"/>
              <w:autoSpaceDN w:val="0"/>
              <w:adjustRightInd w:val="0"/>
              <w:spacing w:before="80" w:after="80"/>
              <w:rPr>
                <w:rFonts w:ascii="Calibri" w:hAnsi="Calibri" w:cs="Calibri"/>
                <w:b/>
                <w:bCs/>
                <w:color w:val="000000"/>
                <w:sz w:val="20"/>
                <w:szCs w:val="20"/>
              </w:rPr>
            </w:pPr>
          </w:p>
        </w:tc>
        <w:tc>
          <w:tcPr>
            <w:tcW w:w="1080" w:type="dxa"/>
            <w:tcBorders>
              <w:top w:val="nil"/>
              <w:left w:val="nil"/>
              <w:bottom w:val="nil"/>
              <w:right w:val="nil"/>
            </w:tcBorders>
            <w:shd w:val="clear" w:color="auto" w:fill="FFFFFF"/>
            <w:tcMar>
              <w:left w:w="80" w:type="dxa"/>
              <w:right w:w="80" w:type="dxa"/>
            </w:tcMar>
            <w:vAlign w:val="bottom"/>
          </w:tcPr>
          <w:p w:rsidR="000821EB" w:rsidRPr="00CB376B" w:rsidRDefault="000821EB" w:rsidP="00CB376B">
            <w:pPr>
              <w:keepNext/>
              <w:autoSpaceDE w:val="0"/>
              <w:autoSpaceDN w:val="0"/>
              <w:adjustRightInd w:val="0"/>
              <w:spacing w:before="80" w:after="80"/>
              <w:jc w:val="right"/>
              <w:rPr>
                <w:rFonts w:ascii="Calibri" w:hAnsi="Calibri" w:cs="Calibri"/>
                <w:color w:val="000000"/>
                <w:sz w:val="20"/>
                <w:szCs w:val="20"/>
              </w:rPr>
            </w:pPr>
            <w:r w:rsidRPr="00CB376B">
              <w:rPr>
                <w:rFonts w:ascii="Calibri" w:hAnsi="Calibri" w:cs="Calibri"/>
                <w:color w:val="000000"/>
                <w:sz w:val="20"/>
                <w:szCs w:val="20"/>
              </w:rPr>
              <w:t>-3.66%</w:t>
            </w:r>
          </w:p>
        </w:tc>
        <w:tc>
          <w:tcPr>
            <w:tcW w:w="1080" w:type="dxa"/>
            <w:tcBorders>
              <w:top w:val="nil"/>
              <w:left w:val="nil"/>
              <w:bottom w:val="nil"/>
              <w:right w:val="nil"/>
            </w:tcBorders>
            <w:shd w:val="clear" w:color="auto" w:fill="FFFFFF"/>
            <w:tcMar>
              <w:left w:w="80" w:type="dxa"/>
              <w:right w:w="80" w:type="dxa"/>
            </w:tcMar>
            <w:vAlign w:val="bottom"/>
          </w:tcPr>
          <w:p w:rsidR="000821EB" w:rsidRPr="00CB376B" w:rsidRDefault="000821EB" w:rsidP="00CB376B">
            <w:pPr>
              <w:keepNext/>
              <w:autoSpaceDE w:val="0"/>
              <w:autoSpaceDN w:val="0"/>
              <w:adjustRightInd w:val="0"/>
              <w:spacing w:before="80" w:after="80"/>
              <w:jc w:val="right"/>
              <w:rPr>
                <w:rFonts w:ascii="Calibri" w:hAnsi="Calibri" w:cs="Calibri"/>
                <w:color w:val="000000"/>
                <w:sz w:val="20"/>
                <w:szCs w:val="20"/>
              </w:rPr>
            </w:pPr>
            <w:r w:rsidRPr="00CB376B">
              <w:rPr>
                <w:rFonts w:ascii="Calibri" w:hAnsi="Calibri" w:cs="Calibri"/>
                <w:color w:val="000000"/>
                <w:sz w:val="20"/>
                <w:szCs w:val="20"/>
              </w:rPr>
              <w:t>-7.53</w:t>
            </w:r>
          </w:p>
        </w:tc>
        <w:tc>
          <w:tcPr>
            <w:tcW w:w="900" w:type="dxa"/>
            <w:tcBorders>
              <w:top w:val="nil"/>
              <w:left w:val="nil"/>
              <w:bottom w:val="nil"/>
              <w:right w:val="nil"/>
            </w:tcBorders>
            <w:shd w:val="clear" w:color="auto" w:fill="FFFFFF"/>
            <w:tcMar>
              <w:left w:w="80" w:type="dxa"/>
              <w:right w:w="80" w:type="dxa"/>
            </w:tcMar>
            <w:vAlign w:val="bottom"/>
          </w:tcPr>
          <w:p w:rsidR="000821EB" w:rsidRPr="00CB376B" w:rsidRDefault="000821EB" w:rsidP="00CB376B">
            <w:pPr>
              <w:keepNext/>
              <w:autoSpaceDE w:val="0"/>
              <w:autoSpaceDN w:val="0"/>
              <w:adjustRightInd w:val="0"/>
              <w:spacing w:before="80" w:after="80"/>
              <w:jc w:val="right"/>
              <w:rPr>
                <w:rFonts w:ascii="Calibri" w:hAnsi="Calibri" w:cs="Calibri"/>
                <w:color w:val="000000"/>
                <w:sz w:val="20"/>
                <w:szCs w:val="20"/>
              </w:rPr>
            </w:pPr>
            <w:r w:rsidRPr="00CB376B">
              <w:rPr>
                <w:rFonts w:ascii="Calibri" w:hAnsi="Calibri" w:cs="Calibri"/>
                <w:color w:val="000000"/>
                <w:sz w:val="20"/>
                <w:szCs w:val="20"/>
              </w:rPr>
              <w:t>271</w:t>
            </w:r>
          </w:p>
        </w:tc>
        <w:tc>
          <w:tcPr>
            <w:tcW w:w="180" w:type="dxa"/>
            <w:tcBorders>
              <w:top w:val="nil"/>
              <w:left w:val="nil"/>
              <w:bottom w:val="nil"/>
              <w:right w:val="nil"/>
            </w:tcBorders>
            <w:shd w:val="clear" w:color="auto" w:fill="FFFFFF"/>
          </w:tcPr>
          <w:p w:rsidR="000821EB" w:rsidRPr="00FB27EB" w:rsidRDefault="000821EB" w:rsidP="00725735">
            <w:pPr>
              <w:keepNext/>
              <w:autoSpaceDE w:val="0"/>
              <w:autoSpaceDN w:val="0"/>
              <w:adjustRightInd w:val="0"/>
              <w:spacing w:before="80" w:after="80"/>
              <w:jc w:val="right"/>
              <w:rPr>
                <w:rFonts w:ascii="Calibri" w:hAnsi="Calibri" w:cs="Calibri"/>
                <w:color w:val="000000"/>
                <w:sz w:val="20"/>
                <w:szCs w:val="20"/>
              </w:rPr>
            </w:pPr>
          </w:p>
        </w:tc>
        <w:tc>
          <w:tcPr>
            <w:tcW w:w="990" w:type="dxa"/>
            <w:tcBorders>
              <w:top w:val="nil"/>
              <w:left w:val="nil"/>
              <w:bottom w:val="nil"/>
              <w:right w:val="nil"/>
            </w:tcBorders>
            <w:shd w:val="clear" w:color="auto" w:fill="FFFFFF"/>
            <w:vAlign w:val="bottom"/>
          </w:tcPr>
          <w:p w:rsidR="000821EB" w:rsidRPr="00FB27EB" w:rsidRDefault="000821EB" w:rsidP="00725735">
            <w:pPr>
              <w:keepNext/>
              <w:autoSpaceDE w:val="0"/>
              <w:autoSpaceDN w:val="0"/>
              <w:adjustRightInd w:val="0"/>
              <w:spacing w:before="80" w:after="80"/>
              <w:jc w:val="right"/>
              <w:rPr>
                <w:rFonts w:ascii="Calibri" w:hAnsi="Calibri" w:cs="Calibri"/>
                <w:color w:val="000000"/>
                <w:sz w:val="20"/>
                <w:szCs w:val="20"/>
              </w:rPr>
            </w:pPr>
            <w:r w:rsidRPr="00FB27EB">
              <w:rPr>
                <w:rFonts w:ascii="Calibri" w:hAnsi="Calibri" w:cs="Calibri"/>
                <w:color w:val="000000"/>
                <w:sz w:val="20"/>
                <w:szCs w:val="20"/>
              </w:rPr>
              <w:t>-2.77%</w:t>
            </w:r>
          </w:p>
        </w:tc>
        <w:tc>
          <w:tcPr>
            <w:tcW w:w="1080" w:type="dxa"/>
            <w:tcBorders>
              <w:top w:val="nil"/>
              <w:left w:val="nil"/>
              <w:bottom w:val="nil"/>
              <w:right w:val="nil"/>
            </w:tcBorders>
            <w:shd w:val="clear" w:color="auto" w:fill="FFFFFF"/>
            <w:vAlign w:val="bottom"/>
          </w:tcPr>
          <w:p w:rsidR="000821EB" w:rsidRPr="00FB27EB" w:rsidRDefault="000821EB" w:rsidP="00725735">
            <w:pPr>
              <w:keepNext/>
              <w:autoSpaceDE w:val="0"/>
              <w:autoSpaceDN w:val="0"/>
              <w:adjustRightInd w:val="0"/>
              <w:spacing w:before="80" w:after="80"/>
              <w:jc w:val="right"/>
              <w:rPr>
                <w:rFonts w:ascii="Calibri" w:hAnsi="Calibri" w:cs="Calibri"/>
                <w:color w:val="000000"/>
                <w:sz w:val="20"/>
                <w:szCs w:val="20"/>
              </w:rPr>
            </w:pPr>
            <w:r w:rsidRPr="00FB27EB">
              <w:rPr>
                <w:rFonts w:ascii="Calibri" w:hAnsi="Calibri" w:cs="Calibri"/>
                <w:color w:val="000000"/>
                <w:sz w:val="20"/>
                <w:szCs w:val="20"/>
              </w:rPr>
              <w:t>-10.82</w:t>
            </w:r>
          </w:p>
        </w:tc>
        <w:tc>
          <w:tcPr>
            <w:tcW w:w="810" w:type="dxa"/>
            <w:tcBorders>
              <w:top w:val="nil"/>
              <w:left w:val="nil"/>
              <w:bottom w:val="nil"/>
              <w:right w:val="nil"/>
            </w:tcBorders>
            <w:shd w:val="clear" w:color="auto" w:fill="FFFFFF"/>
            <w:vAlign w:val="bottom"/>
          </w:tcPr>
          <w:p w:rsidR="000821EB" w:rsidRPr="00FB27EB" w:rsidRDefault="000821EB" w:rsidP="00725735">
            <w:pPr>
              <w:keepNext/>
              <w:autoSpaceDE w:val="0"/>
              <w:autoSpaceDN w:val="0"/>
              <w:adjustRightInd w:val="0"/>
              <w:spacing w:before="80" w:after="80"/>
              <w:jc w:val="right"/>
              <w:rPr>
                <w:rFonts w:ascii="Calibri" w:hAnsi="Calibri" w:cs="Calibri"/>
                <w:color w:val="000000"/>
                <w:sz w:val="20"/>
                <w:szCs w:val="20"/>
              </w:rPr>
            </w:pPr>
            <w:r w:rsidRPr="00FB27EB">
              <w:rPr>
                <w:rFonts w:ascii="Calibri" w:hAnsi="Calibri" w:cs="Calibri"/>
                <w:color w:val="000000"/>
                <w:sz w:val="20"/>
                <w:szCs w:val="20"/>
              </w:rPr>
              <w:t>43.4</w:t>
            </w:r>
          </w:p>
        </w:tc>
      </w:tr>
      <w:tr w:rsidR="00FB27EB" w:rsidRPr="00FB27EB" w:rsidTr="000323A3">
        <w:trPr>
          <w:cantSplit/>
        </w:trPr>
        <w:tc>
          <w:tcPr>
            <w:tcW w:w="810" w:type="dxa"/>
            <w:vMerge/>
            <w:tcBorders>
              <w:top w:val="nil"/>
              <w:left w:val="nil"/>
              <w:bottom w:val="nil"/>
              <w:right w:val="nil"/>
            </w:tcBorders>
            <w:shd w:val="clear" w:color="auto" w:fill="FFFFFF"/>
            <w:tcMar>
              <w:left w:w="80" w:type="dxa"/>
              <w:right w:w="80" w:type="dxa"/>
            </w:tcMar>
          </w:tcPr>
          <w:p w:rsidR="000821EB" w:rsidRPr="00CB376B" w:rsidRDefault="000821EB" w:rsidP="00CB376B">
            <w:pPr>
              <w:keepNext/>
              <w:autoSpaceDE w:val="0"/>
              <w:autoSpaceDN w:val="0"/>
              <w:adjustRightInd w:val="0"/>
              <w:rPr>
                <w:rFonts w:ascii="Times New Roman" w:hAnsi="Times New Roman"/>
                <w:sz w:val="20"/>
                <w:szCs w:val="20"/>
              </w:rPr>
            </w:pPr>
          </w:p>
        </w:tc>
        <w:tc>
          <w:tcPr>
            <w:tcW w:w="1530" w:type="dxa"/>
            <w:tcBorders>
              <w:top w:val="nil"/>
              <w:left w:val="nil"/>
              <w:bottom w:val="nil"/>
              <w:right w:val="nil"/>
            </w:tcBorders>
            <w:shd w:val="clear" w:color="auto" w:fill="FFFFFF"/>
            <w:tcMar>
              <w:left w:w="80" w:type="dxa"/>
              <w:right w:w="80" w:type="dxa"/>
            </w:tcMar>
          </w:tcPr>
          <w:p w:rsidR="000821EB" w:rsidRPr="00CB376B" w:rsidRDefault="000821EB" w:rsidP="00CB376B">
            <w:pPr>
              <w:keepNext/>
              <w:autoSpaceDE w:val="0"/>
              <w:autoSpaceDN w:val="0"/>
              <w:adjustRightInd w:val="0"/>
              <w:spacing w:before="80" w:after="80"/>
              <w:rPr>
                <w:rFonts w:ascii="Calibri" w:hAnsi="Calibri" w:cs="Calibri"/>
                <w:b/>
                <w:bCs/>
                <w:color w:val="000000"/>
                <w:sz w:val="20"/>
                <w:szCs w:val="20"/>
              </w:rPr>
            </w:pPr>
            <w:r w:rsidRPr="00CB376B">
              <w:rPr>
                <w:rFonts w:ascii="Calibri" w:hAnsi="Calibri" w:cs="Calibri"/>
                <w:b/>
                <w:bCs/>
                <w:color w:val="000000"/>
                <w:sz w:val="20"/>
                <w:szCs w:val="20"/>
              </w:rPr>
              <w:t>Unadjusted</w:t>
            </w:r>
          </w:p>
        </w:tc>
        <w:tc>
          <w:tcPr>
            <w:tcW w:w="900" w:type="dxa"/>
            <w:tcBorders>
              <w:top w:val="nil"/>
              <w:left w:val="nil"/>
              <w:bottom w:val="nil"/>
              <w:right w:val="nil"/>
            </w:tcBorders>
            <w:shd w:val="clear" w:color="auto" w:fill="FFFFFF"/>
            <w:tcMar>
              <w:left w:w="80" w:type="dxa"/>
              <w:right w:w="80" w:type="dxa"/>
            </w:tcMar>
          </w:tcPr>
          <w:p w:rsidR="000821EB" w:rsidRPr="00FB27EB" w:rsidRDefault="000821EB" w:rsidP="00725735">
            <w:pPr>
              <w:keepNext/>
              <w:autoSpaceDE w:val="0"/>
              <w:autoSpaceDN w:val="0"/>
              <w:adjustRightInd w:val="0"/>
              <w:spacing w:before="80" w:after="80"/>
              <w:rPr>
                <w:rFonts w:ascii="Calibri" w:hAnsi="Calibri" w:cs="Calibri"/>
                <w:b/>
                <w:bCs/>
                <w:color w:val="000000"/>
                <w:sz w:val="20"/>
                <w:szCs w:val="20"/>
              </w:rPr>
            </w:pPr>
            <w:r w:rsidRPr="00FB27EB">
              <w:rPr>
                <w:rFonts w:ascii="Calibri" w:hAnsi="Calibri" w:cs="Calibri"/>
                <w:b/>
                <w:bCs/>
                <w:color w:val="000000"/>
                <w:sz w:val="20"/>
                <w:szCs w:val="20"/>
              </w:rPr>
              <w:t>0¢</w:t>
            </w:r>
          </w:p>
        </w:tc>
        <w:tc>
          <w:tcPr>
            <w:tcW w:w="1080" w:type="dxa"/>
            <w:tcBorders>
              <w:top w:val="nil"/>
              <w:left w:val="nil"/>
              <w:bottom w:val="nil"/>
              <w:right w:val="nil"/>
            </w:tcBorders>
            <w:shd w:val="clear" w:color="auto" w:fill="FFFFFF"/>
            <w:tcMar>
              <w:left w:w="80" w:type="dxa"/>
              <w:right w:w="80" w:type="dxa"/>
            </w:tcMar>
            <w:vAlign w:val="bottom"/>
          </w:tcPr>
          <w:p w:rsidR="000821EB" w:rsidRPr="00CB376B" w:rsidRDefault="000821EB" w:rsidP="00CB376B">
            <w:pPr>
              <w:keepNext/>
              <w:autoSpaceDE w:val="0"/>
              <w:autoSpaceDN w:val="0"/>
              <w:adjustRightInd w:val="0"/>
              <w:spacing w:before="80" w:after="80"/>
              <w:jc w:val="right"/>
              <w:rPr>
                <w:rFonts w:ascii="Calibri" w:hAnsi="Calibri" w:cs="Calibri"/>
                <w:color w:val="000000"/>
                <w:sz w:val="20"/>
                <w:szCs w:val="20"/>
              </w:rPr>
            </w:pPr>
            <w:r w:rsidRPr="00CB376B">
              <w:rPr>
                <w:rFonts w:ascii="Calibri" w:hAnsi="Calibri" w:cs="Calibri"/>
                <w:color w:val="000000"/>
                <w:sz w:val="20"/>
                <w:szCs w:val="20"/>
              </w:rPr>
              <w:t>0.28%</w:t>
            </w:r>
          </w:p>
        </w:tc>
        <w:tc>
          <w:tcPr>
            <w:tcW w:w="1080" w:type="dxa"/>
            <w:tcBorders>
              <w:top w:val="nil"/>
              <w:left w:val="nil"/>
              <w:bottom w:val="nil"/>
              <w:right w:val="nil"/>
            </w:tcBorders>
            <w:shd w:val="clear" w:color="auto" w:fill="FFFFFF"/>
            <w:tcMar>
              <w:left w:w="80" w:type="dxa"/>
              <w:right w:w="80" w:type="dxa"/>
            </w:tcMar>
            <w:vAlign w:val="bottom"/>
          </w:tcPr>
          <w:p w:rsidR="000821EB" w:rsidRPr="00CB376B" w:rsidRDefault="000821EB" w:rsidP="00CB376B">
            <w:pPr>
              <w:keepNext/>
              <w:autoSpaceDE w:val="0"/>
              <w:autoSpaceDN w:val="0"/>
              <w:adjustRightInd w:val="0"/>
              <w:spacing w:before="80" w:after="80"/>
              <w:jc w:val="right"/>
              <w:rPr>
                <w:rFonts w:ascii="Calibri" w:hAnsi="Calibri" w:cs="Calibri"/>
                <w:color w:val="000000"/>
                <w:sz w:val="20"/>
                <w:szCs w:val="20"/>
              </w:rPr>
            </w:pPr>
            <w:r w:rsidRPr="00CB376B">
              <w:rPr>
                <w:rFonts w:ascii="Calibri" w:hAnsi="Calibri" w:cs="Calibri"/>
                <w:color w:val="000000"/>
                <w:sz w:val="20"/>
                <w:szCs w:val="20"/>
              </w:rPr>
              <w:t>0.47</w:t>
            </w:r>
          </w:p>
        </w:tc>
        <w:tc>
          <w:tcPr>
            <w:tcW w:w="900" w:type="dxa"/>
            <w:tcBorders>
              <w:top w:val="nil"/>
              <w:left w:val="nil"/>
              <w:bottom w:val="nil"/>
              <w:right w:val="nil"/>
            </w:tcBorders>
            <w:shd w:val="clear" w:color="auto" w:fill="FFFFFF"/>
            <w:tcMar>
              <w:left w:w="80" w:type="dxa"/>
              <w:right w:w="80" w:type="dxa"/>
            </w:tcMar>
            <w:vAlign w:val="bottom"/>
          </w:tcPr>
          <w:p w:rsidR="000821EB" w:rsidRPr="00CB376B" w:rsidRDefault="000821EB" w:rsidP="00CB376B">
            <w:pPr>
              <w:keepNext/>
              <w:autoSpaceDE w:val="0"/>
              <w:autoSpaceDN w:val="0"/>
              <w:adjustRightInd w:val="0"/>
              <w:spacing w:before="80" w:after="80"/>
              <w:jc w:val="right"/>
              <w:rPr>
                <w:rFonts w:ascii="Calibri" w:hAnsi="Calibri" w:cs="Calibri"/>
                <w:color w:val="000000"/>
                <w:sz w:val="20"/>
                <w:szCs w:val="20"/>
              </w:rPr>
            </w:pPr>
            <w:r w:rsidRPr="00CB376B">
              <w:rPr>
                <w:rFonts w:ascii="Calibri" w:hAnsi="Calibri" w:cs="Calibri"/>
                <w:color w:val="000000"/>
                <w:sz w:val="20"/>
                <w:szCs w:val="20"/>
              </w:rPr>
              <w:t>237</w:t>
            </w:r>
          </w:p>
        </w:tc>
        <w:tc>
          <w:tcPr>
            <w:tcW w:w="180" w:type="dxa"/>
            <w:tcBorders>
              <w:top w:val="nil"/>
              <w:left w:val="nil"/>
              <w:bottom w:val="nil"/>
              <w:right w:val="nil"/>
            </w:tcBorders>
            <w:shd w:val="clear" w:color="auto" w:fill="FFFFFF"/>
          </w:tcPr>
          <w:p w:rsidR="000821EB" w:rsidRPr="00FB27EB" w:rsidRDefault="000821EB" w:rsidP="00725735">
            <w:pPr>
              <w:keepNext/>
              <w:autoSpaceDE w:val="0"/>
              <w:autoSpaceDN w:val="0"/>
              <w:adjustRightInd w:val="0"/>
              <w:spacing w:before="80" w:after="80"/>
              <w:jc w:val="right"/>
              <w:rPr>
                <w:rFonts w:ascii="Calibri" w:hAnsi="Calibri" w:cs="Calibri"/>
                <w:color w:val="000000"/>
                <w:sz w:val="20"/>
                <w:szCs w:val="20"/>
              </w:rPr>
            </w:pPr>
          </w:p>
        </w:tc>
        <w:tc>
          <w:tcPr>
            <w:tcW w:w="990" w:type="dxa"/>
            <w:tcBorders>
              <w:top w:val="nil"/>
              <w:left w:val="nil"/>
              <w:bottom w:val="nil"/>
              <w:right w:val="nil"/>
            </w:tcBorders>
            <w:shd w:val="clear" w:color="auto" w:fill="FFFFFF"/>
            <w:vAlign w:val="bottom"/>
          </w:tcPr>
          <w:p w:rsidR="000821EB" w:rsidRPr="00FB27EB" w:rsidRDefault="000821EB" w:rsidP="00725735">
            <w:pPr>
              <w:keepNext/>
              <w:autoSpaceDE w:val="0"/>
              <w:autoSpaceDN w:val="0"/>
              <w:adjustRightInd w:val="0"/>
              <w:spacing w:before="80" w:after="80"/>
              <w:jc w:val="right"/>
              <w:rPr>
                <w:rFonts w:ascii="Calibri" w:hAnsi="Calibri" w:cs="Calibri"/>
                <w:color w:val="000000"/>
                <w:sz w:val="20"/>
                <w:szCs w:val="20"/>
              </w:rPr>
            </w:pPr>
            <w:r w:rsidRPr="00FB27EB">
              <w:rPr>
                <w:rFonts w:ascii="Calibri" w:hAnsi="Calibri" w:cs="Calibri"/>
                <w:color w:val="000000"/>
                <w:sz w:val="20"/>
                <w:szCs w:val="20"/>
              </w:rPr>
              <w:t>0.14%</w:t>
            </w:r>
          </w:p>
        </w:tc>
        <w:tc>
          <w:tcPr>
            <w:tcW w:w="1080" w:type="dxa"/>
            <w:tcBorders>
              <w:top w:val="nil"/>
              <w:left w:val="nil"/>
              <w:bottom w:val="nil"/>
              <w:right w:val="nil"/>
            </w:tcBorders>
            <w:shd w:val="clear" w:color="auto" w:fill="FFFFFF"/>
            <w:vAlign w:val="bottom"/>
          </w:tcPr>
          <w:p w:rsidR="000821EB" w:rsidRPr="00FB27EB" w:rsidRDefault="000821EB" w:rsidP="00725735">
            <w:pPr>
              <w:keepNext/>
              <w:autoSpaceDE w:val="0"/>
              <w:autoSpaceDN w:val="0"/>
              <w:adjustRightInd w:val="0"/>
              <w:spacing w:before="80" w:after="80"/>
              <w:jc w:val="right"/>
              <w:rPr>
                <w:rFonts w:ascii="Calibri" w:hAnsi="Calibri" w:cs="Calibri"/>
                <w:color w:val="000000"/>
                <w:sz w:val="20"/>
                <w:szCs w:val="20"/>
              </w:rPr>
            </w:pPr>
            <w:r w:rsidRPr="00FB27EB">
              <w:rPr>
                <w:rFonts w:ascii="Calibri" w:hAnsi="Calibri" w:cs="Calibri"/>
                <w:color w:val="000000"/>
                <w:sz w:val="20"/>
                <w:szCs w:val="20"/>
              </w:rPr>
              <w:t>0.32</w:t>
            </w:r>
          </w:p>
        </w:tc>
        <w:tc>
          <w:tcPr>
            <w:tcW w:w="810" w:type="dxa"/>
            <w:tcBorders>
              <w:top w:val="nil"/>
              <w:left w:val="nil"/>
              <w:bottom w:val="nil"/>
              <w:right w:val="nil"/>
            </w:tcBorders>
            <w:shd w:val="clear" w:color="auto" w:fill="FFFFFF"/>
            <w:vAlign w:val="bottom"/>
          </w:tcPr>
          <w:p w:rsidR="000821EB" w:rsidRPr="00FB27EB" w:rsidRDefault="000821EB" w:rsidP="00725735">
            <w:pPr>
              <w:keepNext/>
              <w:autoSpaceDE w:val="0"/>
              <w:autoSpaceDN w:val="0"/>
              <w:adjustRightInd w:val="0"/>
              <w:spacing w:before="80" w:after="80"/>
              <w:jc w:val="right"/>
              <w:rPr>
                <w:rFonts w:ascii="Calibri" w:hAnsi="Calibri" w:cs="Calibri"/>
                <w:color w:val="000000"/>
                <w:sz w:val="20"/>
                <w:szCs w:val="20"/>
              </w:rPr>
            </w:pPr>
            <w:r w:rsidRPr="00FB27EB">
              <w:rPr>
                <w:rFonts w:ascii="Calibri" w:hAnsi="Calibri" w:cs="Calibri"/>
                <w:color w:val="000000"/>
                <w:sz w:val="20"/>
                <w:szCs w:val="20"/>
              </w:rPr>
              <w:t>36.2</w:t>
            </w:r>
          </w:p>
        </w:tc>
      </w:tr>
      <w:tr w:rsidR="00FB27EB" w:rsidRPr="00FB27EB" w:rsidTr="000323A3">
        <w:trPr>
          <w:cantSplit/>
        </w:trPr>
        <w:tc>
          <w:tcPr>
            <w:tcW w:w="810" w:type="dxa"/>
            <w:vMerge/>
            <w:tcBorders>
              <w:top w:val="nil"/>
              <w:left w:val="nil"/>
              <w:bottom w:val="nil"/>
              <w:right w:val="nil"/>
            </w:tcBorders>
            <w:shd w:val="clear" w:color="auto" w:fill="FFFFFF"/>
            <w:tcMar>
              <w:left w:w="80" w:type="dxa"/>
              <w:right w:w="80" w:type="dxa"/>
            </w:tcMar>
          </w:tcPr>
          <w:p w:rsidR="000821EB" w:rsidRPr="00CB376B" w:rsidRDefault="000821EB" w:rsidP="00CB376B">
            <w:pPr>
              <w:autoSpaceDE w:val="0"/>
              <w:autoSpaceDN w:val="0"/>
              <w:adjustRightInd w:val="0"/>
              <w:rPr>
                <w:rFonts w:ascii="Times New Roman" w:hAnsi="Times New Roman"/>
                <w:sz w:val="20"/>
                <w:szCs w:val="20"/>
              </w:rPr>
            </w:pPr>
          </w:p>
        </w:tc>
        <w:tc>
          <w:tcPr>
            <w:tcW w:w="1530" w:type="dxa"/>
            <w:tcBorders>
              <w:top w:val="nil"/>
              <w:left w:val="nil"/>
              <w:bottom w:val="nil"/>
              <w:right w:val="nil"/>
            </w:tcBorders>
            <w:shd w:val="clear" w:color="auto" w:fill="FFFFFF"/>
            <w:tcMar>
              <w:left w:w="80" w:type="dxa"/>
              <w:right w:w="80" w:type="dxa"/>
            </w:tcMar>
          </w:tcPr>
          <w:p w:rsidR="000821EB" w:rsidRPr="00CB376B" w:rsidRDefault="000821EB" w:rsidP="00CB376B">
            <w:pPr>
              <w:autoSpaceDE w:val="0"/>
              <w:autoSpaceDN w:val="0"/>
              <w:adjustRightInd w:val="0"/>
              <w:spacing w:before="80" w:after="80"/>
              <w:rPr>
                <w:rFonts w:ascii="Calibri" w:hAnsi="Calibri" w:cs="Calibri"/>
                <w:b/>
                <w:bCs/>
                <w:color w:val="000000"/>
                <w:sz w:val="20"/>
                <w:szCs w:val="20"/>
              </w:rPr>
            </w:pPr>
            <w:r w:rsidRPr="00CB376B">
              <w:rPr>
                <w:rFonts w:ascii="Calibri" w:hAnsi="Calibri" w:cs="Calibri"/>
                <w:b/>
                <w:bCs/>
                <w:color w:val="000000"/>
                <w:sz w:val="20"/>
                <w:szCs w:val="20"/>
              </w:rPr>
              <w:t>Adjusted</w:t>
            </w:r>
          </w:p>
        </w:tc>
        <w:tc>
          <w:tcPr>
            <w:tcW w:w="900" w:type="dxa"/>
            <w:tcBorders>
              <w:top w:val="nil"/>
              <w:left w:val="nil"/>
              <w:bottom w:val="nil"/>
              <w:right w:val="nil"/>
            </w:tcBorders>
            <w:shd w:val="clear" w:color="auto" w:fill="FFFFFF"/>
            <w:tcMar>
              <w:left w:w="80" w:type="dxa"/>
              <w:right w:w="80" w:type="dxa"/>
            </w:tcMar>
          </w:tcPr>
          <w:p w:rsidR="000821EB" w:rsidRPr="00FB27EB" w:rsidRDefault="000821EB" w:rsidP="00725735">
            <w:pPr>
              <w:autoSpaceDE w:val="0"/>
              <w:autoSpaceDN w:val="0"/>
              <w:adjustRightInd w:val="0"/>
              <w:spacing w:before="80" w:after="80"/>
              <w:rPr>
                <w:rFonts w:ascii="Calibri" w:hAnsi="Calibri" w:cs="Calibri"/>
                <w:b/>
                <w:bCs/>
                <w:color w:val="000000"/>
                <w:sz w:val="20"/>
                <w:szCs w:val="20"/>
              </w:rPr>
            </w:pPr>
            <w:r w:rsidRPr="00FB27EB">
              <w:rPr>
                <w:rFonts w:ascii="Calibri" w:hAnsi="Calibri" w:cs="Calibri"/>
                <w:b/>
                <w:bCs/>
                <w:color w:val="000000"/>
                <w:sz w:val="20"/>
                <w:szCs w:val="20"/>
              </w:rPr>
              <w:t>0.275¢</w:t>
            </w:r>
          </w:p>
        </w:tc>
        <w:tc>
          <w:tcPr>
            <w:tcW w:w="1080" w:type="dxa"/>
            <w:tcBorders>
              <w:top w:val="nil"/>
              <w:left w:val="nil"/>
              <w:bottom w:val="nil"/>
              <w:right w:val="nil"/>
            </w:tcBorders>
            <w:shd w:val="clear" w:color="auto" w:fill="FFFFFF"/>
            <w:tcMar>
              <w:left w:w="80" w:type="dxa"/>
              <w:right w:w="80" w:type="dxa"/>
            </w:tcMar>
            <w:vAlign w:val="bottom"/>
          </w:tcPr>
          <w:p w:rsidR="000821EB" w:rsidRPr="00CB376B" w:rsidRDefault="000821EB" w:rsidP="00CB376B">
            <w:pPr>
              <w:autoSpaceDE w:val="0"/>
              <w:autoSpaceDN w:val="0"/>
              <w:adjustRightInd w:val="0"/>
              <w:spacing w:before="80" w:after="80"/>
              <w:jc w:val="right"/>
              <w:rPr>
                <w:rFonts w:ascii="Calibri" w:hAnsi="Calibri" w:cs="Calibri"/>
                <w:color w:val="000000"/>
                <w:sz w:val="20"/>
                <w:szCs w:val="20"/>
              </w:rPr>
            </w:pPr>
            <w:r w:rsidRPr="00CB376B">
              <w:rPr>
                <w:rFonts w:ascii="Calibri" w:hAnsi="Calibri" w:cs="Calibri"/>
                <w:color w:val="000000"/>
                <w:sz w:val="20"/>
                <w:szCs w:val="20"/>
              </w:rPr>
              <w:t>-0.65%</w:t>
            </w:r>
          </w:p>
        </w:tc>
        <w:tc>
          <w:tcPr>
            <w:tcW w:w="1080" w:type="dxa"/>
            <w:tcBorders>
              <w:top w:val="nil"/>
              <w:left w:val="nil"/>
              <w:bottom w:val="nil"/>
              <w:right w:val="nil"/>
            </w:tcBorders>
            <w:shd w:val="clear" w:color="auto" w:fill="FFFFFF"/>
            <w:tcMar>
              <w:left w:w="80" w:type="dxa"/>
              <w:right w:w="80" w:type="dxa"/>
            </w:tcMar>
            <w:vAlign w:val="bottom"/>
          </w:tcPr>
          <w:p w:rsidR="000821EB" w:rsidRPr="00CB376B" w:rsidRDefault="000821EB" w:rsidP="00CB376B">
            <w:pPr>
              <w:autoSpaceDE w:val="0"/>
              <w:autoSpaceDN w:val="0"/>
              <w:adjustRightInd w:val="0"/>
              <w:spacing w:before="80" w:after="80"/>
              <w:jc w:val="right"/>
              <w:rPr>
                <w:rFonts w:ascii="Calibri" w:hAnsi="Calibri" w:cs="Calibri"/>
                <w:color w:val="000000"/>
                <w:sz w:val="20"/>
                <w:szCs w:val="20"/>
              </w:rPr>
            </w:pPr>
            <w:r w:rsidRPr="00CB376B">
              <w:rPr>
                <w:rFonts w:ascii="Calibri" w:hAnsi="Calibri" w:cs="Calibri"/>
                <w:color w:val="000000"/>
                <w:sz w:val="20"/>
                <w:szCs w:val="20"/>
              </w:rPr>
              <w:t>-1.02</w:t>
            </w:r>
          </w:p>
        </w:tc>
        <w:tc>
          <w:tcPr>
            <w:tcW w:w="900" w:type="dxa"/>
            <w:tcBorders>
              <w:top w:val="nil"/>
              <w:left w:val="nil"/>
              <w:bottom w:val="nil"/>
              <w:right w:val="nil"/>
            </w:tcBorders>
            <w:shd w:val="clear" w:color="auto" w:fill="FFFFFF"/>
            <w:tcMar>
              <w:left w:w="80" w:type="dxa"/>
              <w:right w:w="80" w:type="dxa"/>
            </w:tcMar>
            <w:vAlign w:val="bottom"/>
          </w:tcPr>
          <w:p w:rsidR="000821EB" w:rsidRPr="00CB376B" w:rsidRDefault="000821EB" w:rsidP="00CB376B">
            <w:pPr>
              <w:autoSpaceDE w:val="0"/>
              <w:autoSpaceDN w:val="0"/>
              <w:adjustRightInd w:val="0"/>
              <w:spacing w:before="80" w:after="80"/>
              <w:jc w:val="right"/>
              <w:rPr>
                <w:rFonts w:ascii="Calibri" w:hAnsi="Calibri" w:cs="Calibri"/>
                <w:color w:val="000000"/>
                <w:sz w:val="20"/>
                <w:szCs w:val="20"/>
              </w:rPr>
            </w:pPr>
            <w:r w:rsidRPr="00CB376B">
              <w:rPr>
                <w:rFonts w:ascii="Calibri" w:hAnsi="Calibri" w:cs="Calibri"/>
                <w:color w:val="000000"/>
                <w:sz w:val="20"/>
                <w:szCs w:val="20"/>
              </w:rPr>
              <w:t>260</w:t>
            </w:r>
          </w:p>
        </w:tc>
        <w:tc>
          <w:tcPr>
            <w:tcW w:w="180" w:type="dxa"/>
            <w:tcBorders>
              <w:top w:val="nil"/>
              <w:left w:val="nil"/>
              <w:bottom w:val="nil"/>
              <w:right w:val="nil"/>
            </w:tcBorders>
            <w:shd w:val="clear" w:color="auto" w:fill="FFFFFF"/>
          </w:tcPr>
          <w:p w:rsidR="000821EB" w:rsidRPr="00FB27EB" w:rsidRDefault="000821EB" w:rsidP="00725735">
            <w:pPr>
              <w:keepNext/>
              <w:autoSpaceDE w:val="0"/>
              <w:autoSpaceDN w:val="0"/>
              <w:adjustRightInd w:val="0"/>
              <w:spacing w:before="80" w:after="80"/>
              <w:jc w:val="right"/>
              <w:rPr>
                <w:rFonts w:ascii="Calibri" w:hAnsi="Calibri" w:cs="Calibri"/>
                <w:color w:val="000000"/>
                <w:sz w:val="20"/>
                <w:szCs w:val="20"/>
              </w:rPr>
            </w:pPr>
          </w:p>
        </w:tc>
        <w:tc>
          <w:tcPr>
            <w:tcW w:w="990" w:type="dxa"/>
            <w:tcBorders>
              <w:top w:val="nil"/>
              <w:left w:val="nil"/>
              <w:bottom w:val="nil"/>
              <w:right w:val="nil"/>
            </w:tcBorders>
            <w:shd w:val="clear" w:color="auto" w:fill="FFFFFF"/>
            <w:vAlign w:val="bottom"/>
          </w:tcPr>
          <w:p w:rsidR="000821EB" w:rsidRPr="00FB27EB" w:rsidRDefault="000821EB" w:rsidP="00725735">
            <w:pPr>
              <w:keepNext/>
              <w:autoSpaceDE w:val="0"/>
              <w:autoSpaceDN w:val="0"/>
              <w:adjustRightInd w:val="0"/>
              <w:spacing w:before="80" w:after="80"/>
              <w:jc w:val="right"/>
              <w:rPr>
                <w:rFonts w:ascii="Calibri" w:hAnsi="Calibri" w:cs="Calibri"/>
                <w:color w:val="000000"/>
                <w:sz w:val="20"/>
                <w:szCs w:val="20"/>
              </w:rPr>
            </w:pPr>
            <w:r w:rsidRPr="00FB27EB">
              <w:rPr>
                <w:rFonts w:ascii="Calibri" w:hAnsi="Calibri" w:cs="Calibri"/>
                <w:color w:val="000000"/>
                <w:sz w:val="20"/>
                <w:szCs w:val="20"/>
              </w:rPr>
              <w:t>-0.34%</w:t>
            </w:r>
          </w:p>
        </w:tc>
        <w:tc>
          <w:tcPr>
            <w:tcW w:w="1080" w:type="dxa"/>
            <w:tcBorders>
              <w:top w:val="nil"/>
              <w:left w:val="nil"/>
              <w:bottom w:val="nil"/>
              <w:right w:val="nil"/>
            </w:tcBorders>
            <w:shd w:val="clear" w:color="auto" w:fill="FFFFFF"/>
            <w:vAlign w:val="bottom"/>
          </w:tcPr>
          <w:p w:rsidR="000821EB" w:rsidRPr="00FB27EB" w:rsidRDefault="000821EB" w:rsidP="00725735">
            <w:pPr>
              <w:keepNext/>
              <w:autoSpaceDE w:val="0"/>
              <w:autoSpaceDN w:val="0"/>
              <w:adjustRightInd w:val="0"/>
              <w:spacing w:before="80" w:after="80"/>
              <w:jc w:val="right"/>
              <w:rPr>
                <w:rFonts w:ascii="Calibri" w:hAnsi="Calibri" w:cs="Calibri"/>
                <w:color w:val="000000"/>
                <w:sz w:val="20"/>
                <w:szCs w:val="20"/>
              </w:rPr>
            </w:pPr>
            <w:r w:rsidRPr="00FB27EB">
              <w:rPr>
                <w:rFonts w:ascii="Calibri" w:hAnsi="Calibri" w:cs="Calibri"/>
                <w:color w:val="000000"/>
                <w:sz w:val="20"/>
                <w:szCs w:val="20"/>
              </w:rPr>
              <w:t>-0.67</w:t>
            </w:r>
          </w:p>
        </w:tc>
        <w:tc>
          <w:tcPr>
            <w:tcW w:w="810" w:type="dxa"/>
            <w:tcBorders>
              <w:top w:val="nil"/>
              <w:left w:val="nil"/>
              <w:bottom w:val="nil"/>
              <w:right w:val="nil"/>
            </w:tcBorders>
            <w:shd w:val="clear" w:color="auto" w:fill="FFFFFF"/>
            <w:vAlign w:val="bottom"/>
          </w:tcPr>
          <w:p w:rsidR="000821EB" w:rsidRPr="00FB27EB" w:rsidRDefault="000821EB" w:rsidP="00725735">
            <w:pPr>
              <w:keepNext/>
              <w:autoSpaceDE w:val="0"/>
              <w:autoSpaceDN w:val="0"/>
              <w:adjustRightInd w:val="0"/>
              <w:spacing w:before="80" w:after="80"/>
              <w:jc w:val="right"/>
              <w:rPr>
                <w:rFonts w:ascii="Calibri" w:hAnsi="Calibri" w:cs="Calibri"/>
                <w:color w:val="000000"/>
                <w:sz w:val="20"/>
                <w:szCs w:val="20"/>
              </w:rPr>
            </w:pPr>
            <w:r w:rsidRPr="00FB27EB">
              <w:rPr>
                <w:rFonts w:ascii="Calibri" w:hAnsi="Calibri" w:cs="Calibri"/>
                <w:color w:val="000000"/>
                <w:sz w:val="20"/>
                <w:szCs w:val="20"/>
              </w:rPr>
              <w:t>39.7</w:t>
            </w:r>
          </w:p>
        </w:tc>
      </w:tr>
      <w:tr w:rsidR="00FB27EB" w:rsidRPr="00FB27EB" w:rsidTr="000323A3">
        <w:trPr>
          <w:cantSplit/>
        </w:trPr>
        <w:tc>
          <w:tcPr>
            <w:tcW w:w="810" w:type="dxa"/>
            <w:vMerge w:val="restart"/>
            <w:tcBorders>
              <w:top w:val="nil"/>
              <w:left w:val="nil"/>
              <w:bottom w:val="nil"/>
              <w:right w:val="nil"/>
            </w:tcBorders>
            <w:shd w:val="clear" w:color="auto" w:fill="FFFFFF"/>
            <w:tcMar>
              <w:left w:w="80" w:type="dxa"/>
              <w:right w:w="80" w:type="dxa"/>
            </w:tcMar>
          </w:tcPr>
          <w:p w:rsidR="000821EB" w:rsidRPr="00CB376B" w:rsidRDefault="000821EB" w:rsidP="00CB376B">
            <w:pPr>
              <w:keepNext/>
              <w:autoSpaceDE w:val="0"/>
              <w:autoSpaceDN w:val="0"/>
              <w:adjustRightInd w:val="0"/>
              <w:spacing w:before="80" w:after="80"/>
              <w:rPr>
                <w:rFonts w:ascii="Calibri" w:hAnsi="Calibri" w:cs="Calibri"/>
                <w:b/>
                <w:bCs/>
                <w:color w:val="000000"/>
                <w:sz w:val="20"/>
                <w:szCs w:val="20"/>
              </w:rPr>
            </w:pPr>
            <w:r w:rsidRPr="00CB376B">
              <w:rPr>
                <w:rFonts w:ascii="Calibri" w:hAnsi="Calibri" w:cs="Calibri"/>
                <w:b/>
                <w:bCs/>
                <w:color w:val="000000"/>
                <w:sz w:val="20"/>
                <w:szCs w:val="20"/>
              </w:rPr>
              <w:t>10</w:t>
            </w:r>
          </w:p>
        </w:tc>
        <w:tc>
          <w:tcPr>
            <w:tcW w:w="1530" w:type="dxa"/>
            <w:tcBorders>
              <w:top w:val="nil"/>
              <w:left w:val="nil"/>
              <w:bottom w:val="nil"/>
              <w:right w:val="nil"/>
            </w:tcBorders>
            <w:shd w:val="clear" w:color="auto" w:fill="FFFFFF"/>
            <w:tcMar>
              <w:left w:w="80" w:type="dxa"/>
              <w:right w:w="80" w:type="dxa"/>
            </w:tcMar>
          </w:tcPr>
          <w:p w:rsidR="000821EB" w:rsidRPr="00CB376B" w:rsidRDefault="000821EB" w:rsidP="00CB376B">
            <w:pPr>
              <w:keepNext/>
              <w:autoSpaceDE w:val="0"/>
              <w:autoSpaceDN w:val="0"/>
              <w:adjustRightInd w:val="0"/>
              <w:spacing w:before="80" w:after="80"/>
              <w:rPr>
                <w:rFonts w:ascii="Calibri" w:hAnsi="Calibri" w:cs="Calibri"/>
                <w:b/>
                <w:bCs/>
                <w:color w:val="000000"/>
                <w:sz w:val="20"/>
                <w:szCs w:val="20"/>
              </w:rPr>
            </w:pPr>
            <w:r w:rsidRPr="00CB376B">
              <w:rPr>
                <w:rFonts w:ascii="Calibri" w:hAnsi="Calibri" w:cs="Calibri"/>
                <w:b/>
                <w:bCs/>
                <w:color w:val="000000"/>
                <w:sz w:val="20"/>
                <w:szCs w:val="20"/>
              </w:rPr>
              <w:t>Quote midpoint</w:t>
            </w:r>
          </w:p>
        </w:tc>
        <w:tc>
          <w:tcPr>
            <w:tcW w:w="900" w:type="dxa"/>
            <w:tcBorders>
              <w:top w:val="nil"/>
              <w:left w:val="nil"/>
              <w:bottom w:val="nil"/>
              <w:right w:val="nil"/>
            </w:tcBorders>
            <w:shd w:val="clear" w:color="auto" w:fill="FFFFFF"/>
            <w:tcMar>
              <w:left w:w="80" w:type="dxa"/>
              <w:right w:w="80" w:type="dxa"/>
            </w:tcMar>
          </w:tcPr>
          <w:p w:rsidR="000821EB" w:rsidRPr="00FB27EB" w:rsidRDefault="000821EB" w:rsidP="00725735">
            <w:pPr>
              <w:keepNext/>
              <w:autoSpaceDE w:val="0"/>
              <w:autoSpaceDN w:val="0"/>
              <w:adjustRightInd w:val="0"/>
              <w:spacing w:before="80" w:after="80"/>
              <w:rPr>
                <w:rFonts w:ascii="Calibri" w:hAnsi="Calibri" w:cs="Calibri"/>
                <w:b/>
                <w:bCs/>
                <w:color w:val="000000"/>
                <w:sz w:val="20"/>
                <w:szCs w:val="20"/>
              </w:rPr>
            </w:pPr>
          </w:p>
        </w:tc>
        <w:tc>
          <w:tcPr>
            <w:tcW w:w="1080" w:type="dxa"/>
            <w:tcBorders>
              <w:top w:val="nil"/>
              <w:left w:val="nil"/>
              <w:bottom w:val="nil"/>
              <w:right w:val="nil"/>
            </w:tcBorders>
            <w:shd w:val="clear" w:color="auto" w:fill="FFFFFF"/>
            <w:tcMar>
              <w:left w:w="80" w:type="dxa"/>
              <w:right w:w="80" w:type="dxa"/>
            </w:tcMar>
            <w:vAlign w:val="bottom"/>
          </w:tcPr>
          <w:p w:rsidR="000821EB" w:rsidRPr="00CB376B" w:rsidRDefault="000821EB" w:rsidP="00CB376B">
            <w:pPr>
              <w:keepNext/>
              <w:autoSpaceDE w:val="0"/>
              <w:autoSpaceDN w:val="0"/>
              <w:adjustRightInd w:val="0"/>
              <w:spacing w:before="80" w:after="80"/>
              <w:jc w:val="right"/>
              <w:rPr>
                <w:rFonts w:ascii="Calibri" w:hAnsi="Calibri" w:cs="Calibri"/>
                <w:color w:val="000000"/>
                <w:sz w:val="20"/>
                <w:szCs w:val="20"/>
              </w:rPr>
            </w:pPr>
            <w:r w:rsidRPr="00CB376B">
              <w:rPr>
                <w:rFonts w:ascii="Calibri" w:hAnsi="Calibri" w:cs="Calibri"/>
                <w:color w:val="000000"/>
                <w:sz w:val="20"/>
                <w:szCs w:val="20"/>
              </w:rPr>
              <w:t>-3.95%</w:t>
            </w:r>
          </w:p>
        </w:tc>
        <w:tc>
          <w:tcPr>
            <w:tcW w:w="1080" w:type="dxa"/>
            <w:tcBorders>
              <w:top w:val="nil"/>
              <w:left w:val="nil"/>
              <w:bottom w:val="nil"/>
              <w:right w:val="nil"/>
            </w:tcBorders>
            <w:shd w:val="clear" w:color="auto" w:fill="FFFFFF"/>
            <w:tcMar>
              <w:left w:w="80" w:type="dxa"/>
              <w:right w:w="80" w:type="dxa"/>
            </w:tcMar>
            <w:vAlign w:val="bottom"/>
          </w:tcPr>
          <w:p w:rsidR="000821EB" w:rsidRPr="00CB376B" w:rsidRDefault="000821EB" w:rsidP="00CB376B">
            <w:pPr>
              <w:keepNext/>
              <w:autoSpaceDE w:val="0"/>
              <w:autoSpaceDN w:val="0"/>
              <w:adjustRightInd w:val="0"/>
              <w:spacing w:before="80" w:after="80"/>
              <w:jc w:val="right"/>
              <w:rPr>
                <w:rFonts w:ascii="Calibri" w:hAnsi="Calibri" w:cs="Calibri"/>
                <w:color w:val="000000"/>
                <w:sz w:val="20"/>
                <w:szCs w:val="20"/>
              </w:rPr>
            </w:pPr>
            <w:r w:rsidRPr="00CB376B">
              <w:rPr>
                <w:rFonts w:ascii="Calibri" w:hAnsi="Calibri" w:cs="Calibri"/>
                <w:color w:val="000000"/>
                <w:sz w:val="20"/>
                <w:szCs w:val="20"/>
              </w:rPr>
              <w:t>-6.68</w:t>
            </w:r>
          </w:p>
        </w:tc>
        <w:tc>
          <w:tcPr>
            <w:tcW w:w="900" w:type="dxa"/>
            <w:tcBorders>
              <w:top w:val="nil"/>
              <w:left w:val="nil"/>
              <w:bottom w:val="nil"/>
              <w:right w:val="nil"/>
            </w:tcBorders>
            <w:shd w:val="clear" w:color="auto" w:fill="FFFFFF"/>
            <w:tcMar>
              <w:left w:w="80" w:type="dxa"/>
              <w:right w:w="80" w:type="dxa"/>
            </w:tcMar>
            <w:vAlign w:val="bottom"/>
          </w:tcPr>
          <w:p w:rsidR="000821EB" w:rsidRPr="00CB376B" w:rsidRDefault="000821EB" w:rsidP="00CB376B">
            <w:pPr>
              <w:keepNext/>
              <w:autoSpaceDE w:val="0"/>
              <w:autoSpaceDN w:val="0"/>
              <w:adjustRightInd w:val="0"/>
              <w:spacing w:before="80" w:after="80"/>
              <w:jc w:val="right"/>
              <w:rPr>
                <w:rFonts w:ascii="Calibri" w:hAnsi="Calibri" w:cs="Calibri"/>
                <w:color w:val="000000"/>
                <w:sz w:val="20"/>
                <w:szCs w:val="20"/>
              </w:rPr>
            </w:pPr>
            <w:r w:rsidRPr="00CB376B">
              <w:rPr>
                <w:rFonts w:ascii="Calibri" w:hAnsi="Calibri" w:cs="Calibri"/>
                <w:color w:val="000000"/>
                <w:sz w:val="20"/>
                <w:szCs w:val="20"/>
              </w:rPr>
              <w:t>499</w:t>
            </w:r>
          </w:p>
        </w:tc>
        <w:tc>
          <w:tcPr>
            <w:tcW w:w="180" w:type="dxa"/>
            <w:tcBorders>
              <w:top w:val="nil"/>
              <w:left w:val="nil"/>
              <w:bottom w:val="nil"/>
              <w:right w:val="nil"/>
            </w:tcBorders>
            <w:shd w:val="clear" w:color="auto" w:fill="FFFFFF"/>
          </w:tcPr>
          <w:p w:rsidR="000821EB" w:rsidRPr="00FB27EB" w:rsidRDefault="000821EB" w:rsidP="00725735">
            <w:pPr>
              <w:keepNext/>
              <w:autoSpaceDE w:val="0"/>
              <w:autoSpaceDN w:val="0"/>
              <w:adjustRightInd w:val="0"/>
              <w:spacing w:before="80" w:after="80"/>
              <w:jc w:val="right"/>
              <w:rPr>
                <w:rFonts w:ascii="Calibri" w:hAnsi="Calibri" w:cs="Calibri"/>
                <w:color w:val="000000"/>
                <w:sz w:val="20"/>
                <w:szCs w:val="20"/>
              </w:rPr>
            </w:pPr>
          </w:p>
        </w:tc>
        <w:tc>
          <w:tcPr>
            <w:tcW w:w="990" w:type="dxa"/>
            <w:tcBorders>
              <w:top w:val="nil"/>
              <w:left w:val="nil"/>
              <w:bottom w:val="nil"/>
              <w:right w:val="nil"/>
            </w:tcBorders>
            <w:shd w:val="clear" w:color="auto" w:fill="FFFFFF"/>
            <w:vAlign w:val="bottom"/>
          </w:tcPr>
          <w:p w:rsidR="000821EB" w:rsidRPr="00FB27EB" w:rsidRDefault="000821EB" w:rsidP="00725735">
            <w:pPr>
              <w:keepNext/>
              <w:autoSpaceDE w:val="0"/>
              <w:autoSpaceDN w:val="0"/>
              <w:adjustRightInd w:val="0"/>
              <w:spacing w:before="80" w:after="80"/>
              <w:jc w:val="right"/>
              <w:rPr>
                <w:rFonts w:ascii="Calibri" w:hAnsi="Calibri" w:cs="Calibri"/>
                <w:color w:val="000000"/>
                <w:sz w:val="20"/>
                <w:szCs w:val="20"/>
              </w:rPr>
            </w:pPr>
            <w:r w:rsidRPr="00FB27EB">
              <w:rPr>
                <w:rFonts w:ascii="Calibri" w:hAnsi="Calibri" w:cs="Calibri"/>
                <w:color w:val="000000"/>
                <w:sz w:val="20"/>
                <w:szCs w:val="20"/>
              </w:rPr>
              <w:t>-3.04%</w:t>
            </w:r>
          </w:p>
        </w:tc>
        <w:tc>
          <w:tcPr>
            <w:tcW w:w="1080" w:type="dxa"/>
            <w:tcBorders>
              <w:top w:val="nil"/>
              <w:left w:val="nil"/>
              <w:bottom w:val="nil"/>
              <w:right w:val="nil"/>
            </w:tcBorders>
            <w:shd w:val="clear" w:color="auto" w:fill="FFFFFF"/>
            <w:vAlign w:val="bottom"/>
          </w:tcPr>
          <w:p w:rsidR="000821EB" w:rsidRPr="00FB27EB" w:rsidRDefault="000821EB" w:rsidP="00725735">
            <w:pPr>
              <w:keepNext/>
              <w:autoSpaceDE w:val="0"/>
              <w:autoSpaceDN w:val="0"/>
              <w:adjustRightInd w:val="0"/>
              <w:spacing w:before="80" w:after="80"/>
              <w:jc w:val="right"/>
              <w:rPr>
                <w:rFonts w:ascii="Calibri" w:hAnsi="Calibri" w:cs="Calibri"/>
                <w:color w:val="000000"/>
                <w:sz w:val="20"/>
                <w:szCs w:val="20"/>
              </w:rPr>
            </w:pPr>
            <w:r w:rsidRPr="00FB27EB">
              <w:rPr>
                <w:rFonts w:ascii="Calibri" w:hAnsi="Calibri" w:cs="Calibri"/>
                <w:color w:val="000000"/>
                <w:sz w:val="20"/>
                <w:szCs w:val="20"/>
              </w:rPr>
              <w:t>-10.48</w:t>
            </w:r>
          </w:p>
        </w:tc>
        <w:tc>
          <w:tcPr>
            <w:tcW w:w="810" w:type="dxa"/>
            <w:tcBorders>
              <w:top w:val="nil"/>
              <w:left w:val="nil"/>
              <w:bottom w:val="nil"/>
              <w:right w:val="nil"/>
            </w:tcBorders>
            <w:shd w:val="clear" w:color="auto" w:fill="FFFFFF"/>
            <w:vAlign w:val="bottom"/>
          </w:tcPr>
          <w:p w:rsidR="000821EB" w:rsidRPr="00FB27EB" w:rsidRDefault="000821EB" w:rsidP="00725735">
            <w:pPr>
              <w:keepNext/>
              <w:autoSpaceDE w:val="0"/>
              <w:autoSpaceDN w:val="0"/>
              <w:adjustRightInd w:val="0"/>
              <w:spacing w:before="80" w:after="80"/>
              <w:jc w:val="right"/>
              <w:rPr>
                <w:rFonts w:ascii="Calibri" w:hAnsi="Calibri" w:cs="Calibri"/>
                <w:color w:val="000000"/>
                <w:sz w:val="20"/>
                <w:szCs w:val="20"/>
              </w:rPr>
            </w:pPr>
            <w:r w:rsidRPr="00FB27EB">
              <w:rPr>
                <w:rFonts w:ascii="Calibri" w:hAnsi="Calibri" w:cs="Calibri"/>
                <w:color w:val="000000"/>
                <w:sz w:val="20"/>
                <w:szCs w:val="20"/>
              </w:rPr>
              <w:t>85.3</w:t>
            </w:r>
          </w:p>
        </w:tc>
      </w:tr>
      <w:tr w:rsidR="00FB27EB" w:rsidRPr="00FB27EB" w:rsidTr="000323A3">
        <w:trPr>
          <w:cantSplit/>
        </w:trPr>
        <w:tc>
          <w:tcPr>
            <w:tcW w:w="810" w:type="dxa"/>
            <w:vMerge/>
            <w:tcBorders>
              <w:top w:val="nil"/>
              <w:left w:val="nil"/>
              <w:bottom w:val="nil"/>
              <w:right w:val="nil"/>
            </w:tcBorders>
            <w:shd w:val="clear" w:color="auto" w:fill="FFFFFF"/>
            <w:tcMar>
              <w:left w:w="80" w:type="dxa"/>
              <w:right w:w="80" w:type="dxa"/>
            </w:tcMar>
          </w:tcPr>
          <w:p w:rsidR="000821EB" w:rsidRPr="00CB376B" w:rsidRDefault="000821EB" w:rsidP="00CB376B">
            <w:pPr>
              <w:keepNext/>
              <w:autoSpaceDE w:val="0"/>
              <w:autoSpaceDN w:val="0"/>
              <w:adjustRightInd w:val="0"/>
              <w:rPr>
                <w:rFonts w:ascii="Times New Roman" w:hAnsi="Times New Roman"/>
                <w:sz w:val="20"/>
                <w:szCs w:val="20"/>
              </w:rPr>
            </w:pPr>
          </w:p>
        </w:tc>
        <w:tc>
          <w:tcPr>
            <w:tcW w:w="1530" w:type="dxa"/>
            <w:tcBorders>
              <w:top w:val="nil"/>
              <w:left w:val="nil"/>
              <w:bottom w:val="nil"/>
              <w:right w:val="nil"/>
            </w:tcBorders>
            <w:shd w:val="clear" w:color="auto" w:fill="FFFFFF"/>
            <w:tcMar>
              <w:left w:w="80" w:type="dxa"/>
              <w:right w:w="80" w:type="dxa"/>
            </w:tcMar>
          </w:tcPr>
          <w:p w:rsidR="000821EB" w:rsidRPr="00CB376B" w:rsidRDefault="000821EB" w:rsidP="00CB376B">
            <w:pPr>
              <w:keepNext/>
              <w:autoSpaceDE w:val="0"/>
              <w:autoSpaceDN w:val="0"/>
              <w:adjustRightInd w:val="0"/>
              <w:spacing w:before="80" w:after="80"/>
              <w:rPr>
                <w:rFonts w:ascii="Calibri" w:hAnsi="Calibri" w:cs="Calibri"/>
                <w:b/>
                <w:bCs/>
                <w:color w:val="000000"/>
                <w:sz w:val="20"/>
                <w:szCs w:val="20"/>
              </w:rPr>
            </w:pPr>
            <w:r w:rsidRPr="00CB376B">
              <w:rPr>
                <w:rFonts w:ascii="Calibri" w:hAnsi="Calibri" w:cs="Calibri"/>
                <w:b/>
                <w:bCs/>
                <w:color w:val="000000"/>
                <w:sz w:val="20"/>
                <w:szCs w:val="20"/>
              </w:rPr>
              <w:t>Unadjusted</w:t>
            </w:r>
          </w:p>
        </w:tc>
        <w:tc>
          <w:tcPr>
            <w:tcW w:w="900" w:type="dxa"/>
            <w:tcBorders>
              <w:top w:val="nil"/>
              <w:left w:val="nil"/>
              <w:bottom w:val="nil"/>
              <w:right w:val="nil"/>
            </w:tcBorders>
            <w:shd w:val="clear" w:color="auto" w:fill="FFFFFF"/>
            <w:tcMar>
              <w:left w:w="80" w:type="dxa"/>
              <w:right w:w="80" w:type="dxa"/>
            </w:tcMar>
          </w:tcPr>
          <w:p w:rsidR="000821EB" w:rsidRPr="00FB27EB" w:rsidRDefault="000821EB" w:rsidP="00725735">
            <w:pPr>
              <w:keepNext/>
              <w:autoSpaceDE w:val="0"/>
              <w:autoSpaceDN w:val="0"/>
              <w:adjustRightInd w:val="0"/>
              <w:spacing w:before="80" w:after="80"/>
              <w:rPr>
                <w:rFonts w:ascii="Calibri" w:hAnsi="Calibri" w:cs="Calibri"/>
                <w:b/>
                <w:bCs/>
                <w:color w:val="000000"/>
                <w:sz w:val="20"/>
                <w:szCs w:val="20"/>
              </w:rPr>
            </w:pPr>
            <w:r w:rsidRPr="00FB27EB">
              <w:rPr>
                <w:rFonts w:ascii="Calibri" w:hAnsi="Calibri" w:cs="Calibri"/>
                <w:b/>
                <w:bCs/>
                <w:color w:val="000000"/>
                <w:sz w:val="20"/>
                <w:szCs w:val="20"/>
              </w:rPr>
              <w:t>0¢</w:t>
            </w:r>
          </w:p>
        </w:tc>
        <w:tc>
          <w:tcPr>
            <w:tcW w:w="1080" w:type="dxa"/>
            <w:tcBorders>
              <w:top w:val="nil"/>
              <w:left w:val="nil"/>
              <w:bottom w:val="nil"/>
              <w:right w:val="nil"/>
            </w:tcBorders>
            <w:shd w:val="clear" w:color="auto" w:fill="FFFFFF"/>
            <w:tcMar>
              <w:left w:w="80" w:type="dxa"/>
              <w:right w:w="80" w:type="dxa"/>
            </w:tcMar>
            <w:vAlign w:val="bottom"/>
          </w:tcPr>
          <w:p w:rsidR="000821EB" w:rsidRPr="00CB376B" w:rsidRDefault="000821EB" w:rsidP="00CB376B">
            <w:pPr>
              <w:keepNext/>
              <w:autoSpaceDE w:val="0"/>
              <w:autoSpaceDN w:val="0"/>
              <w:adjustRightInd w:val="0"/>
              <w:spacing w:before="80" w:after="80"/>
              <w:jc w:val="right"/>
              <w:rPr>
                <w:rFonts w:ascii="Calibri" w:hAnsi="Calibri" w:cs="Calibri"/>
                <w:color w:val="000000"/>
                <w:sz w:val="20"/>
                <w:szCs w:val="20"/>
              </w:rPr>
            </w:pPr>
            <w:r w:rsidRPr="00CB376B">
              <w:rPr>
                <w:rFonts w:ascii="Calibri" w:hAnsi="Calibri" w:cs="Calibri"/>
                <w:color w:val="000000"/>
                <w:sz w:val="20"/>
                <w:szCs w:val="20"/>
              </w:rPr>
              <w:t>0.46%</w:t>
            </w:r>
          </w:p>
        </w:tc>
        <w:tc>
          <w:tcPr>
            <w:tcW w:w="1080" w:type="dxa"/>
            <w:tcBorders>
              <w:top w:val="nil"/>
              <w:left w:val="nil"/>
              <w:bottom w:val="nil"/>
              <w:right w:val="nil"/>
            </w:tcBorders>
            <w:shd w:val="clear" w:color="auto" w:fill="FFFFFF"/>
            <w:tcMar>
              <w:left w:w="80" w:type="dxa"/>
              <w:right w:w="80" w:type="dxa"/>
            </w:tcMar>
            <w:vAlign w:val="bottom"/>
          </w:tcPr>
          <w:p w:rsidR="000821EB" w:rsidRPr="00CB376B" w:rsidRDefault="000821EB" w:rsidP="00CB376B">
            <w:pPr>
              <w:keepNext/>
              <w:autoSpaceDE w:val="0"/>
              <w:autoSpaceDN w:val="0"/>
              <w:adjustRightInd w:val="0"/>
              <w:spacing w:before="80" w:after="80"/>
              <w:jc w:val="right"/>
              <w:rPr>
                <w:rFonts w:ascii="Calibri" w:hAnsi="Calibri" w:cs="Calibri"/>
                <w:color w:val="000000"/>
                <w:sz w:val="20"/>
                <w:szCs w:val="20"/>
              </w:rPr>
            </w:pPr>
            <w:r w:rsidRPr="00CB376B">
              <w:rPr>
                <w:rFonts w:ascii="Calibri" w:hAnsi="Calibri" w:cs="Calibri"/>
                <w:color w:val="000000"/>
                <w:sz w:val="20"/>
                <w:szCs w:val="20"/>
              </w:rPr>
              <w:t>0.82</w:t>
            </w:r>
          </w:p>
        </w:tc>
        <w:tc>
          <w:tcPr>
            <w:tcW w:w="900" w:type="dxa"/>
            <w:tcBorders>
              <w:top w:val="nil"/>
              <w:left w:val="nil"/>
              <w:bottom w:val="nil"/>
              <w:right w:val="nil"/>
            </w:tcBorders>
            <w:shd w:val="clear" w:color="auto" w:fill="FFFFFF"/>
            <w:tcMar>
              <w:left w:w="80" w:type="dxa"/>
              <w:right w:w="80" w:type="dxa"/>
            </w:tcMar>
            <w:vAlign w:val="bottom"/>
          </w:tcPr>
          <w:p w:rsidR="000821EB" w:rsidRPr="00CB376B" w:rsidRDefault="000821EB" w:rsidP="00CB376B">
            <w:pPr>
              <w:keepNext/>
              <w:autoSpaceDE w:val="0"/>
              <w:autoSpaceDN w:val="0"/>
              <w:adjustRightInd w:val="0"/>
              <w:spacing w:before="80" w:after="80"/>
              <w:jc w:val="right"/>
              <w:rPr>
                <w:rFonts w:ascii="Calibri" w:hAnsi="Calibri" w:cs="Calibri"/>
                <w:color w:val="000000"/>
                <w:sz w:val="20"/>
                <w:szCs w:val="20"/>
              </w:rPr>
            </w:pPr>
            <w:r w:rsidRPr="00CB376B">
              <w:rPr>
                <w:rFonts w:ascii="Calibri" w:hAnsi="Calibri" w:cs="Calibri"/>
                <w:color w:val="000000"/>
                <w:sz w:val="20"/>
                <w:szCs w:val="20"/>
              </w:rPr>
              <w:t>452</w:t>
            </w:r>
          </w:p>
        </w:tc>
        <w:tc>
          <w:tcPr>
            <w:tcW w:w="180" w:type="dxa"/>
            <w:tcBorders>
              <w:top w:val="nil"/>
              <w:left w:val="nil"/>
              <w:bottom w:val="nil"/>
              <w:right w:val="nil"/>
            </w:tcBorders>
            <w:shd w:val="clear" w:color="auto" w:fill="FFFFFF"/>
          </w:tcPr>
          <w:p w:rsidR="000821EB" w:rsidRPr="00FB27EB" w:rsidRDefault="000821EB" w:rsidP="00725735">
            <w:pPr>
              <w:keepNext/>
              <w:autoSpaceDE w:val="0"/>
              <w:autoSpaceDN w:val="0"/>
              <w:adjustRightInd w:val="0"/>
              <w:spacing w:before="80" w:after="80"/>
              <w:jc w:val="right"/>
              <w:rPr>
                <w:rFonts w:ascii="Calibri" w:hAnsi="Calibri" w:cs="Calibri"/>
                <w:color w:val="000000"/>
                <w:sz w:val="20"/>
                <w:szCs w:val="20"/>
              </w:rPr>
            </w:pPr>
          </w:p>
        </w:tc>
        <w:tc>
          <w:tcPr>
            <w:tcW w:w="990" w:type="dxa"/>
            <w:tcBorders>
              <w:top w:val="nil"/>
              <w:left w:val="nil"/>
              <w:bottom w:val="nil"/>
              <w:right w:val="nil"/>
            </w:tcBorders>
            <w:shd w:val="clear" w:color="auto" w:fill="FFFFFF"/>
            <w:vAlign w:val="bottom"/>
          </w:tcPr>
          <w:p w:rsidR="000821EB" w:rsidRPr="00FB27EB" w:rsidRDefault="000821EB" w:rsidP="00725735">
            <w:pPr>
              <w:keepNext/>
              <w:autoSpaceDE w:val="0"/>
              <w:autoSpaceDN w:val="0"/>
              <w:adjustRightInd w:val="0"/>
              <w:spacing w:before="80" w:after="80"/>
              <w:jc w:val="right"/>
              <w:rPr>
                <w:rFonts w:ascii="Calibri" w:hAnsi="Calibri" w:cs="Calibri"/>
                <w:color w:val="000000"/>
                <w:sz w:val="20"/>
                <w:szCs w:val="20"/>
              </w:rPr>
            </w:pPr>
            <w:r w:rsidRPr="00FB27EB">
              <w:rPr>
                <w:rFonts w:ascii="Calibri" w:hAnsi="Calibri" w:cs="Calibri"/>
                <w:color w:val="000000"/>
                <w:sz w:val="20"/>
                <w:szCs w:val="20"/>
              </w:rPr>
              <w:t>-0.41%</w:t>
            </w:r>
          </w:p>
        </w:tc>
        <w:tc>
          <w:tcPr>
            <w:tcW w:w="1080" w:type="dxa"/>
            <w:tcBorders>
              <w:top w:val="nil"/>
              <w:left w:val="nil"/>
              <w:bottom w:val="nil"/>
              <w:right w:val="nil"/>
            </w:tcBorders>
            <w:shd w:val="clear" w:color="auto" w:fill="FFFFFF"/>
            <w:vAlign w:val="bottom"/>
          </w:tcPr>
          <w:p w:rsidR="000821EB" w:rsidRPr="00FB27EB" w:rsidRDefault="000821EB" w:rsidP="00725735">
            <w:pPr>
              <w:keepNext/>
              <w:autoSpaceDE w:val="0"/>
              <w:autoSpaceDN w:val="0"/>
              <w:adjustRightInd w:val="0"/>
              <w:spacing w:before="80" w:after="80"/>
              <w:jc w:val="right"/>
              <w:rPr>
                <w:rFonts w:ascii="Calibri" w:hAnsi="Calibri" w:cs="Calibri"/>
                <w:color w:val="000000"/>
                <w:sz w:val="20"/>
                <w:szCs w:val="20"/>
              </w:rPr>
            </w:pPr>
            <w:r w:rsidRPr="00FB27EB">
              <w:rPr>
                <w:rFonts w:ascii="Calibri" w:hAnsi="Calibri" w:cs="Calibri"/>
                <w:color w:val="000000"/>
                <w:sz w:val="20"/>
                <w:szCs w:val="20"/>
              </w:rPr>
              <w:t>-1.18</w:t>
            </w:r>
          </w:p>
        </w:tc>
        <w:tc>
          <w:tcPr>
            <w:tcW w:w="810" w:type="dxa"/>
            <w:tcBorders>
              <w:top w:val="nil"/>
              <w:left w:val="nil"/>
              <w:bottom w:val="nil"/>
              <w:right w:val="nil"/>
            </w:tcBorders>
            <w:shd w:val="clear" w:color="auto" w:fill="FFFFFF"/>
            <w:vAlign w:val="bottom"/>
          </w:tcPr>
          <w:p w:rsidR="000821EB" w:rsidRPr="00FB27EB" w:rsidRDefault="000821EB" w:rsidP="00725735">
            <w:pPr>
              <w:keepNext/>
              <w:autoSpaceDE w:val="0"/>
              <w:autoSpaceDN w:val="0"/>
              <w:adjustRightInd w:val="0"/>
              <w:spacing w:before="80" w:after="80"/>
              <w:jc w:val="right"/>
              <w:rPr>
                <w:rFonts w:ascii="Calibri" w:hAnsi="Calibri" w:cs="Calibri"/>
                <w:color w:val="000000"/>
                <w:sz w:val="20"/>
                <w:szCs w:val="20"/>
              </w:rPr>
            </w:pPr>
            <w:r w:rsidRPr="00FB27EB">
              <w:rPr>
                <w:rFonts w:ascii="Calibri" w:hAnsi="Calibri" w:cs="Calibri"/>
                <w:color w:val="000000"/>
                <w:sz w:val="20"/>
                <w:szCs w:val="20"/>
              </w:rPr>
              <w:t>73.8</w:t>
            </w:r>
          </w:p>
        </w:tc>
      </w:tr>
      <w:tr w:rsidR="00FB27EB" w:rsidRPr="00FB27EB" w:rsidTr="000323A3">
        <w:trPr>
          <w:cantSplit/>
        </w:trPr>
        <w:tc>
          <w:tcPr>
            <w:tcW w:w="810" w:type="dxa"/>
            <w:vMerge/>
            <w:tcBorders>
              <w:top w:val="nil"/>
              <w:left w:val="nil"/>
              <w:bottom w:val="nil"/>
              <w:right w:val="nil"/>
            </w:tcBorders>
            <w:shd w:val="clear" w:color="auto" w:fill="FFFFFF"/>
            <w:tcMar>
              <w:left w:w="80" w:type="dxa"/>
              <w:right w:w="80" w:type="dxa"/>
            </w:tcMar>
          </w:tcPr>
          <w:p w:rsidR="000821EB" w:rsidRPr="00CB376B" w:rsidRDefault="000821EB" w:rsidP="00CB376B">
            <w:pPr>
              <w:autoSpaceDE w:val="0"/>
              <w:autoSpaceDN w:val="0"/>
              <w:adjustRightInd w:val="0"/>
              <w:rPr>
                <w:rFonts w:ascii="Times New Roman" w:hAnsi="Times New Roman"/>
                <w:sz w:val="20"/>
                <w:szCs w:val="20"/>
              </w:rPr>
            </w:pPr>
          </w:p>
        </w:tc>
        <w:tc>
          <w:tcPr>
            <w:tcW w:w="1530" w:type="dxa"/>
            <w:tcBorders>
              <w:top w:val="nil"/>
              <w:left w:val="nil"/>
              <w:bottom w:val="nil"/>
              <w:right w:val="nil"/>
            </w:tcBorders>
            <w:shd w:val="clear" w:color="auto" w:fill="FFFFFF"/>
            <w:tcMar>
              <w:left w:w="80" w:type="dxa"/>
              <w:right w:w="80" w:type="dxa"/>
            </w:tcMar>
          </w:tcPr>
          <w:p w:rsidR="000821EB" w:rsidRPr="00CB376B" w:rsidRDefault="000821EB" w:rsidP="00CB376B">
            <w:pPr>
              <w:autoSpaceDE w:val="0"/>
              <w:autoSpaceDN w:val="0"/>
              <w:adjustRightInd w:val="0"/>
              <w:spacing w:before="80" w:after="80"/>
              <w:rPr>
                <w:rFonts w:ascii="Calibri" w:hAnsi="Calibri" w:cs="Calibri"/>
                <w:b/>
                <w:bCs/>
                <w:color w:val="000000"/>
                <w:sz w:val="20"/>
                <w:szCs w:val="20"/>
              </w:rPr>
            </w:pPr>
            <w:r w:rsidRPr="00CB376B">
              <w:rPr>
                <w:rFonts w:ascii="Calibri" w:hAnsi="Calibri" w:cs="Calibri"/>
                <w:b/>
                <w:bCs/>
                <w:color w:val="000000"/>
                <w:sz w:val="20"/>
                <w:szCs w:val="20"/>
              </w:rPr>
              <w:t>Adjusted</w:t>
            </w:r>
          </w:p>
        </w:tc>
        <w:tc>
          <w:tcPr>
            <w:tcW w:w="900" w:type="dxa"/>
            <w:tcBorders>
              <w:top w:val="nil"/>
              <w:left w:val="nil"/>
              <w:bottom w:val="nil"/>
              <w:right w:val="nil"/>
            </w:tcBorders>
            <w:shd w:val="clear" w:color="auto" w:fill="FFFFFF"/>
            <w:tcMar>
              <w:left w:w="80" w:type="dxa"/>
              <w:right w:w="80" w:type="dxa"/>
            </w:tcMar>
          </w:tcPr>
          <w:p w:rsidR="000821EB" w:rsidRPr="00FB27EB" w:rsidRDefault="000821EB" w:rsidP="00725735">
            <w:pPr>
              <w:autoSpaceDE w:val="0"/>
              <w:autoSpaceDN w:val="0"/>
              <w:adjustRightInd w:val="0"/>
              <w:spacing w:before="80" w:after="80"/>
              <w:rPr>
                <w:rFonts w:ascii="Calibri" w:hAnsi="Calibri" w:cs="Calibri"/>
                <w:b/>
                <w:bCs/>
                <w:color w:val="000000"/>
                <w:sz w:val="20"/>
                <w:szCs w:val="20"/>
              </w:rPr>
            </w:pPr>
            <w:r w:rsidRPr="00FB27EB">
              <w:rPr>
                <w:rFonts w:ascii="Calibri" w:hAnsi="Calibri" w:cs="Calibri"/>
                <w:b/>
                <w:bCs/>
                <w:color w:val="000000"/>
                <w:sz w:val="20"/>
                <w:szCs w:val="20"/>
              </w:rPr>
              <w:t>0.275¢</w:t>
            </w:r>
          </w:p>
        </w:tc>
        <w:tc>
          <w:tcPr>
            <w:tcW w:w="1080" w:type="dxa"/>
            <w:tcBorders>
              <w:top w:val="nil"/>
              <w:left w:val="nil"/>
              <w:bottom w:val="nil"/>
              <w:right w:val="nil"/>
            </w:tcBorders>
            <w:shd w:val="clear" w:color="auto" w:fill="FFFFFF"/>
            <w:tcMar>
              <w:left w:w="80" w:type="dxa"/>
              <w:right w:w="80" w:type="dxa"/>
            </w:tcMar>
            <w:vAlign w:val="bottom"/>
          </w:tcPr>
          <w:p w:rsidR="000821EB" w:rsidRPr="00CB376B" w:rsidRDefault="000821EB" w:rsidP="00CB376B">
            <w:pPr>
              <w:autoSpaceDE w:val="0"/>
              <w:autoSpaceDN w:val="0"/>
              <w:adjustRightInd w:val="0"/>
              <w:spacing w:before="80" w:after="80"/>
              <w:jc w:val="right"/>
              <w:rPr>
                <w:rFonts w:ascii="Calibri" w:hAnsi="Calibri" w:cs="Calibri"/>
                <w:color w:val="000000"/>
                <w:sz w:val="20"/>
                <w:szCs w:val="20"/>
              </w:rPr>
            </w:pPr>
            <w:r w:rsidRPr="00CB376B">
              <w:rPr>
                <w:rFonts w:ascii="Calibri" w:hAnsi="Calibri" w:cs="Calibri"/>
                <w:color w:val="000000"/>
                <w:sz w:val="20"/>
                <w:szCs w:val="20"/>
              </w:rPr>
              <w:t>0.02%</w:t>
            </w:r>
          </w:p>
        </w:tc>
        <w:tc>
          <w:tcPr>
            <w:tcW w:w="1080" w:type="dxa"/>
            <w:tcBorders>
              <w:top w:val="nil"/>
              <w:left w:val="nil"/>
              <w:bottom w:val="nil"/>
              <w:right w:val="nil"/>
            </w:tcBorders>
            <w:shd w:val="clear" w:color="auto" w:fill="FFFFFF"/>
            <w:tcMar>
              <w:left w:w="80" w:type="dxa"/>
              <w:right w:w="80" w:type="dxa"/>
            </w:tcMar>
            <w:vAlign w:val="bottom"/>
          </w:tcPr>
          <w:p w:rsidR="000821EB" w:rsidRPr="00CB376B" w:rsidRDefault="000821EB" w:rsidP="00CB376B">
            <w:pPr>
              <w:autoSpaceDE w:val="0"/>
              <w:autoSpaceDN w:val="0"/>
              <w:adjustRightInd w:val="0"/>
              <w:spacing w:before="80" w:after="80"/>
              <w:jc w:val="right"/>
              <w:rPr>
                <w:rFonts w:ascii="Calibri" w:hAnsi="Calibri" w:cs="Calibri"/>
                <w:color w:val="000000"/>
                <w:sz w:val="20"/>
                <w:szCs w:val="20"/>
              </w:rPr>
            </w:pPr>
            <w:r w:rsidRPr="00CB376B">
              <w:rPr>
                <w:rFonts w:ascii="Calibri" w:hAnsi="Calibri" w:cs="Calibri"/>
                <w:color w:val="000000"/>
                <w:sz w:val="20"/>
                <w:szCs w:val="20"/>
              </w:rPr>
              <w:t>0.03</w:t>
            </w:r>
          </w:p>
        </w:tc>
        <w:tc>
          <w:tcPr>
            <w:tcW w:w="900" w:type="dxa"/>
            <w:tcBorders>
              <w:top w:val="nil"/>
              <w:left w:val="nil"/>
              <w:bottom w:val="nil"/>
              <w:right w:val="nil"/>
            </w:tcBorders>
            <w:shd w:val="clear" w:color="auto" w:fill="FFFFFF"/>
            <w:tcMar>
              <w:left w:w="80" w:type="dxa"/>
              <w:right w:w="80" w:type="dxa"/>
            </w:tcMar>
            <w:vAlign w:val="bottom"/>
          </w:tcPr>
          <w:p w:rsidR="000821EB" w:rsidRPr="00CB376B" w:rsidRDefault="000821EB" w:rsidP="00CB376B">
            <w:pPr>
              <w:autoSpaceDE w:val="0"/>
              <w:autoSpaceDN w:val="0"/>
              <w:adjustRightInd w:val="0"/>
              <w:spacing w:before="80" w:after="80"/>
              <w:jc w:val="right"/>
              <w:rPr>
                <w:rFonts w:ascii="Calibri" w:hAnsi="Calibri" w:cs="Calibri"/>
                <w:color w:val="000000"/>
                <w:sz w:val="20"/>
                <w:szCs w:val="20"/>
              </w:rPr>
            </w:pPr>
            <w:r w:rsidRPr="00CB376B">
              <w:rPr>
                <w:rFonts w:ascii="Calibri" w:hAnsi="Calibri" w:cs="Calibri"/>
                <w:color w:val="000000"/>
                <w:sz w:val="20"/>
                <w:szCs w:val="20"/>
              </w:rPr>
              <w:t>481</w:t>
            </w:r>
          </w:p>
        </w:tc>
        <w:tc>
          <w:tcPr>
            <w:tcW w:w="180" w:type="dxa"/>
            <w:tcBorders>
              <w:top w:val="nil"/>
              <w:left w:val="nil"/>
              <w:bottom w:val="nil"/>
              <w:right w:val="nil"/>
            </w:tcBorders>
            <w:shd w:val="clear" w:color="auto" w:fill="FFFFFF"/>
          </w:tcPr>
          <w:p w:rsidR="000821EB" w:rsidRPr="00FB27EB" w:rsidRDefault="000821EB" w:rsidP="00725735">
            <w:pPr>
              <w:keepNext/>
              <w:autoSpaceDE w:val="0"/>
              <w:autoSpaceDN w:val="0"/>
              <w:adjustRightInd w:val="0"/>
              <w:spacing w:before="80" w:after="80"/>
              <w:jc w:val="right"/>
              <w:rPr>
                <w:rFonts w:ascii="Calibri" w:hAnsi="Calibri" w:cs="Calibri"/>
                <w:color w:val="000000"/>
                <w:sz w:val="20"/>
                <w:szCs w:val="20"/>
              </w:rPr>
            </w:pPr>
          </w:p>
        </w:tc>
        <w:tc>
          <w:tcPr>
            <w:tcW w:w="990" w:type="dxa"/>
            <w:tcBorders>
              <w:top w:val="nil"/>
              <w:left w:val="nil"/>
              <w:bottom w:val="nil"/>
              <w:right w:val="nil"/>
            </w:tcBorders>
            <w:shd w:val="clear" w:color="auto" w:fill="FFFFFF"/>
            <w:vAlign w:val="bottom"/>
          </w:tcPr>
          <w:p w:rsidR="000821EB" w:rsidRPr="00FB27EB" w:rsidRDefault="000821EB" w:rsidP="00725735">
            <w:pPr>
              <w:keepNext/>
              <w:autoSpaceDE w:val="0"/>
              <w:autoSpaceDN w:val="0"/>
              <w:adjustRightInd w:val="0"/>
              <w:spacing w:before="80" w:after="80"/>
              <w:jc w:val="right"/>
              <w:rPr>
                <w:rFonts w:ascii="Calibri" w:hAnsi="Calibri" w:cs="Calibri"/>
                <w:color w:val="000000"/>
                <w:sz w:val="20"/>
                <w:szCs w:val="20"/>
              </w:rPr>
            </w:pPr>
            <w:r w:rsidRPr="00FB27EB">
              <w:rPr>
                <w:rFonts w:ascii="Calibri" w:hAnsi="Calibri" w:cs="Calibri"/>
                <w:color w:val="000000"/>
                <w:sz w:val="20"/>
                <w:szCs w:val="20"/>
              </w:rPr>
              <w:t>-1.05%</w:t>
            </w:r>
          </w:p>
        </w:tc>
        <w:tc>
          <w:tcPr>
            <w:tcW w:w="1080" w:type="dxa"/>
            <w:tcBorders>
              <w:top w:val="nil"/>
              <w:left w:val="nil"/>
              <w:bottom w:val="nil"/>
              <w:right w:val="nil"/>
            </w:tcBorders>
            <w:shd w:val="clear" w:color="auto" w:fill="FFFFFF"/>
            <w:vAlign w:val="bottom"/>
          </w:tcPr>
          <w:p w:rsidR="000821EB" w:rsidRPr="00FB27EB" w:rsidRDefault="000821EB" w:rsidP="00725735">
            <w:pPr>
              <w:keepNext/>
              <w:autoSpaceDE w:val="0"/>
              <w:autoSpaceDN w:val="0"/>
              <w:adjustRightInd w:val="0"/>
              <w:spacing w:before="80" w:after="80"/>
              <w:jc w:val="right"/>
              <w:rPr>
                <w:rFonts w:ascii="Calibri" w:hAnsi="Calibri" w:cs="Calibri"/>
                <w:color w:val="000000"/>
                <w:sz w:val="20"/>
                <w:szCs w:val="20"/>
              </w:rPr>
            </w:pPr>
            <w:r w:rsidRPr="00FB27EB">
              <w:rPr>
                <w:rFonts w:ascii="Calibri" w:hAnsi="Calibri" w:cs="Calibri"/>
                <w:color w:val="000000"/>
                <w:sz w:val="20"/>
                <w:szCs w:val="20"/>
              </w:rPr>
              <w:t>-2.26</w:t>
            </w:r>
          </w:p>
        </w:tc>
        <w:tc>
          <w:tcPr>
            <w:tcW w:w="810" w:type="dxa"/>
            <w:tcBorders>
              <w:top w:val="nil"/>
              <w:left w:val="nil"/>
              <w:bottom w:val="nil"/>
              <w:right w:val="nil"/>
            </w:tcBorders>
            <w:shd w:val="clear" w:color="auto" w:fill="FFFFFF"/>
            <w:vAlign w:val="bottom"/>
          </w:tcPr>
          <w:p w:rsidR="000821EB" w:rsidRPr="00FB27EB" w:rsidRDefault="000821EB" w:rsidP="00725735">
            <w:pPr>
              <w:keepNext/>
              <w:autoSpaceDE w:val="0"/>
              <w:autoSpaceDN w:val="0"/>
              <w:adjustRightInd w:val="0"/>
              <w:spacing w:before="80" w:after="80"/>
              <w:jc w:val="right"/>
              <w:rPr>
                <w:rFonts w:ascii="Calibri" w:hAnsi="Calibri" w:cs="Calibri"/>
                <w:color w:val="000000"/>
                <w:sz w:val="20"/>
                <w:szCs w:val="20"/>
              </w:rPr>
            </w:pPr>
            <w:r w:rsidRPr="00FB27EB">
              <w:rPr>
                <w:rFonts w:ascii="Calibri" w:hAnsi="Calibri" w:cs="Calibri"/>
                <w:color w:val="000000"/>
                <w:sz w:val="20"/>
                <w:szCs w:val="20"/>
              </w:rPr>
              <w:t>79.2</w:t>
            </w:r>
          </w:p>
        </w:tc>
      </w:tr>
      <w:tr w:rsidR="00FB27EB" w:rsidRPr="00FB27EB" w:rsidTr="000323A3">
        <w:trPr>
          <w:cantSplit/>
        </w:trPr>
        <w:tc>
          <w:tcPr>
            <w:tcW w:w="810" w:type="dxa"/>
            <w:vMerge w:val="restart"/>
            <w:tcBorders>
              <w:top w:val="nil"/>
              <w:left w:val="nil"/>
              <w:bottom w:val="nil"/>
              <w:right w:val="nil"/>
            </w:tcBorders>
            <w:shd w:val="clear" w:color="auto" w:fill="FFFFFF"/>
            <w:tcMar>
              <w:left w:w="80" w:type="dxa"/>
              <w:right w:w="80" w:type="dxa"/>
            </w:tcMar>
          </w:tcPr>
          <w:p w:rsidR="000821EB" w:rsidRPr="00CB376B" w:rsidRDefault="000821EB" w:rsidP="00CB376B">
            <w:pPr>
              <w:keepNext/>
              <w:autoSpaceDE w:val="0"/>
              <w:autoSpaceDN w:val="0"/>
              <w:adjustRightInd w:val="0"/>
              <w:spacing w:before="80" w:after="80"/>
              <w:rPr>
                <w:rFonts w:ascii="Calibri" w:hAnsi="Calibri" w:cs="Calibri"/>
                <w:b/>
                <w:bCs/>
                <w:color w:val="000000"/>
                <w:sz w:val="20"/>
                <w:szCs w:val="20"/>
              </w:rPr>
            </w:pPr>
            <w:r w:rsidRPr="00CB376B">
              <w:rPr>
                <w:rFonts w:ascii="Calibri" w:hAnsi="Calibri" w:cs="Calibri"/>
                <w:b/>
                <w:bCs/>
                <w:color w:val="000000"/>
                <w:sz w:val="20"/>
                <w:szCs w:val="20"/>
              </w:rPr>
              <w:t>20</w:t>
            </w:r>
          </w:p>
        </w:tc>
        <w:tc>
          <w:tcPr>
            <w:tcW w:w="1530" w:type="dxa"/>
            <w:tcBorders>
              <w:top w:val="nil"/>
              <w:left w:val="nil"/>
              <w:bottom w:val="nil"/>
              <w:right w:val="nil"/>
            </w:tcBorders>
            <w:shd w:val="clear" w:color="auto" w:fill="FFFFFF"/>
            <w:tcMar>
              <w:left w:w="80" w:type="dxa"/>
              <w:right w:w="80" w:type="dxa"/>
            </w:tcMar>
          </w:tcPr>
          <w:p w:rsidR="000821EB" w:rsidRPr="00CB376B" w:rsidRDefault="000821EB" w:rsidP="00CB376B">
            <w:pPr>
              <w:keepNext/>
              <w:autoSpaceDE w:val="0"/>
              <w:autoSpaceDN w:val="0"/>
              <w:adjustRightInd w:val="0"/>
              <w:spacing w:before="80" w:after="80"/>
              <w:rPr>
                <w:rFonts w:ascii="Calibri" w:hAnsi="Calibri" w:cs="Calibri"/>
                <w:b/>
                <w:bCs/>
                <w:color w:val="000000"/>
                <w:sz w:val="20"/>
                <w:szCs w:val="20"/>
              </w:rPr>
            </w:pPr>
            <w:r w:rsidRPr="00CB376B">
              <w:rPr>
                <w:rFonts w:ascii="Calibri" w:hAnsi="Calibri" w:cs="Calibri"/>
                <w:b/>
                <w:bCs/>
                <w:color w:val="000000"/>
                <w:sz w:val="20"/>
                <w:szCs w:val="20"/>
              </w:rPr>
              <w:t>Quote midpoint</w:t>
            </w:r>
          </w:p>
        </w:tc>
        <w:tc>
          <w:tcPr>
            <w:tcW w:w="900" w:type="dxa"/>
            <w:tcBorders>
              <w:top w:val="nil"/>
              <w:left w:val="nil"/>
              <w:bottom w:val="nil"/>
              <w:right w:val="nil"/>
            </w:tcBorders>
            <w:shd w:val="clear" w:color="auto" w:fill="FFFFFF"/>
            <w:tcMar>
              <w:left w:w="80" w:type="dxa"/>
              <w:right w:w="80" w:type="dxa"/>
            </w:tcMar>
          </w:tcPr>
          <w:p w:rsidR="000821EB" w:rsidRPr="00FB27EB" w:rsidRDefault="000821EB" w:rsidP="00725735">
            <w:pPr>
              <w:keepNext/>
              <w:autoSpaceDE w:val="0"/>
              <w:autoSpaceDN w:val="0"/>
              <w:adjustRightInd w:val="0"/>
              <w:spacing w:before="80" w:after="80"/>
              <w:rPr>
                <w:rFonts w:ascii="Calibri" w:hAnsi="Calibri" w:cs="Calibri"/>
                <w:b/>
                <w:bCs/>
                <w:color w:val="000000"/>
                <w:sz w:val="20"/>
                <w:szCs w:val="20"/>
              </w:rPr>
            </w:pPr>
          </w:p>
        </w:tc>
        <w:tc>
          <w:tcPr>
            <w:tcW w:w="1080" w:type="dxa"/>
            <w:tcBorders>
              <w:top w:val="nil"/>
              <w:left w:val="nil"/>
              <w:bottom w:val="nil"/>
              <w:right w:val="nil"/>
            </w:tcBorders>
            <w:shd w:val="clear" w:color="auto" w:fill="FFFFFF"/>
            <w:tcMar>
              <w:left w:w="80" w:type="dxa"/>
              <w:right w:w="80" w:type="dxa"/>
            </w:tcMar>
            <w:vAlign w:val="bottom"/>
          </w:tcPr>
          <w:p w:rsidR="000821EB" w:rsidRPr="00CB376B" w:rsidRDefault="000821EB" w:rsidP="00CB376B">
            <w:pPr>
              <w:keepNext/>
              <w:autoSpaceDE w:val="0"/>
              <w:autoSpaceDN w:val="0"/>
              <w:adjustRightInd w:val="0"/>
              <w:spacing w:before="80" w:after="80"/>
              <w:jc w:val="right"/>
              <w:rPr>
                <w:rFonts w:ascii="Calibri" w:hAnsi="Calibri" w:cs="Calibri"/>
                <w:color w:val="000000"/>
                <w:sz w:val="20"/>
                <w:szCs w:val="20"/>
              </w:rPr>
            </w:pPr>
            <w:r w:rsidRPr="00CB376B">
              <w:rPr>
                <w:rFonts w:ascii="Calibri" w:hAnsi="Calibri" w:cs="Calibri"/>
                <w:color w:val="000000"/>
                <w:sz w:val="20"/>
                <w:szCs w:val="20"/>
              </w:rPr>
              <w:t>-3.28%</w:t>
            </w:r>
          </w:p>
        </w:tc>
        <w:tc>
          <w:tcPr>
            <w:tcW w:w="1080" w:type="dxa"/>
            <w:tcBorders>
              <w:top w:val="nil"/>
              <w:left w:val="nil"/>
              <w:bottom w:val="nil"/>
              <w:right w:val="nil"/>
            </w:tcBorders>
            <w:shd w:val="clear" w:color="auto" w:fill="FFFFFF"/>
            <w:tcMar>
              <w:left w:w="80" w:type="dxa"/>
              <w:right w:w="80" w:type="dxa"/>
            </w:tcMar>
            <w:vAlign w:val="bottom"/>
          </w:tcPr>
          <w:p w:rsidR="000821EB" w:rsidRPr="00CB376B" w:rsidRDefault="000821EB" w:rsidP="00CB376B">
            <w:pPr>
              <w:keepNext/>
              <w:autoSpaceDE w:val="0"/>
              <w:autoSpaceDN w:val="0"/>
              <w:adjustRightInd w:val="0"/>
              <w:spacing w:before="80" w:after="80"/>
              <w:jc w:val="right"/>
              <w:rPr>
                <w:rFonts w:ascii="Calibri" w:hAnsi="Calibri" w:cs="Calibri"/>
                <w:color w:val="000000"/>
                <w:sz w:val="20"/>
                <w:szCs w:val="20"/>
              </w:rPr>
            </w:pPr>
            <w:r w:rsidRPr="00CB376B">
              <w:rPr>
                <w:rFonts w:ascii="Calibri" w:hAnsi="Calibri" w:cs="Calibri"/>
                <w:color w:val="000000"/>
                <w:sz w:val="20"/>
                <w:szCs w:val="20"/>
              </w:rPr>
              <w:t>-4.64</w:t>
            </w:r>
          </w:p>
        </w:tc>
        <w:tc>
          <w:tcPr>
            <w:tcW w:w="900" w:type="dxa"/>
            <w:tcBorders>
              <w:top w:val="nil"/>
              <w:left w:val="nil"/>
              <w:bottom w:val="nil"/>
              <w:right w:val="nil"/>
            </w:tcBorders>
            <w:shd w:val="clear" w:color="auto" w:fill="FFFFFF"/>
            <w:tcMar>
              <w:left w:w="80" w:type="dxa"/>
              <w:right w:w="80" w:type="dxa"/>
            </w:tcMar>
            <w:vAlign w:val="bottom"/>
          </w:tcPr>
          <w:p w:rsidR="000821EB" w:rsidRPr="00CB376B" w:rsidRDefault="000821EB" w:rsidP="00CB376B">
            <w:pPr>
              <w:keepNext/>
              <w:autoSpaceDE w:val="0"/>
              <w:autoSpaceDN w:val="0"/>
              <w:adjustRightInd w:val="0"/>
              <w:spacing w:before="80" w:after="80"/>
              <w:jc w:val="right"/>
              <w:rPr>
                <w:rFonts w:ascii="Calibri" w:hAnsi="Calibri" w:cs="Calibri"/>
                <w:color w:val="000000"/>
                <w:sz w:val="20"/>
                <w:szCs w:val="20"/>
              </w:rPr>
            </w:pPr>
            <w:r w:rsidRPr="00CB376B">
              <w:rPr>
                <w:rFonts w:ascii="Calibri" w:hAnsi="Calibri" w:cs="Calibri"/>
                <w:color w:val="000000"/>
                <w:sz w:val="20"/>
                <w:szCs w:val="20"/>
              </w:rPr>
              <w:t>883</w:t>
            </w:r>
          </w:p>
        </w:tc>
        <w:tc>
          <w:tcPr>
            <w:tcW w:w="180" w:type="dxa"/>
            <w:tcBorders>
              <w:top w:val="nil"/>
              <w:left w:val="nil"/>
              <w:bottom w:val="nil"/>
              <w:right w:val="nil"/>
            </w:tcBorders>
            <w:shd w:val="clear" w:color="auto" w:fill="FFFFFF"/>
          </w:tcPr>
          <w:p w:rsidR="000821EB" w:rsidRPr="00FB27EB" w:rsidRDefault="000821EB" w:rsidP="00725735">
            <w:pPr>
              <w:keepNext/>
              <w:autoSpaceDE w:val="0"/>
              <w:autoSpaceDN w:val="0"/>
              <w:adjustRightInd w:val="0"/>
              <w:spacing w:before="80" w:after="80"/>
              <w:jc w:val="right"/>
              <w:rPr>
                <w:rFonts w:ascii="Calibri" w:hAnsi="Calibri" w:cs="Calibri"/>
                <w:color w:val="000000"/>
                <w:sz w:val="20"/>
                <w:szCs w:val="20"/>
              </w:rPr>
            </w:pPr>
          </w:p>
        </w:tc>
        <w:tc>
          <w:tcPr>
            <w:tcW w:w="990" w:type="dxa"/>
            <w:tcBorders>
              <w:top w:val="nil"/>
              <w:left w:val="nil"/>
              <w:bottom w:val="nil"/>
              <w:right w:val="nil"/>
            </w:tcBorders>
            <w:shd w:val="clear" w:color="auto" w:fill="FFFFFF"/>
            <w:vAlign w:val="bottom"/>
          </w:tcPr>
          <w:p w:rsidR="000821EB" w:rsidRPr="00FB27EB" w:rsidRDefault="000821EB" w:rsidP="00725735">
            <w:pPr>
              <w:keepNext/>
              <w:autoSpaceDE w:val="0"/>
              <w:autoSpaceDN w:val="0"/>
              <w:adjustRightInd w:val="0"/>
              <w:spacing w:before="80" w:after="80"/>
              <w:jc w:val="right"/>
              <w:rPr>
                <w:rFonts w:ascii="Calibri" w:hAnsi="Calibri" w:cs="Calibri"/>
                <w:color w:val="000000"/>
                <w:sz w:val="20"/>
                <w:szCs w:val="20"/>
              </w:rPr>
            </w:pPr>
            <w:r w:rsidRPr="00FB27EB">
              <w:rPr>
                <w:rFonts w:ascii="Calibri" w:hAnsi="Calibri" w:cs="Calibri"/>
                <w:color w:val="000000"/>
                <w:sz w:val="20"/>
                <w:szCs w:val="20"/>
              </w:rPr>
              <w:t>-3.21%</w:t>
            </w:r>
          </w:p>
        </w:tc>
        <w:tc>
          <w:tcPr>
            <w:tcW w:w="1080" w:type="dxa"/>
            <w:tcBorders>
              <w:top w:val="nil"/>
              <w:left w:val="nil"/>
              <w:bottom w:val="nil"/>
              <w:right w:val="nil"/>
            </w:tcBorders>
            <w:shd w:val="clear" w:color="auto" w:fill="FFFFFF"/>
            <w:vAlign w:val="bottom"/>
          </w:tcPr>
          <w:p w:rsidR="000821EB" w:rsidRPr="00FB27EB" w:rsidRDefault="000821EB" w:rsidP="00725735">
            <w:pPr>
              <w:keepNext/>
              <w:autoSpaceDE w:val="0"/>
              <w:autoSpaceDN w:val="0"/>
              <w:adjustRightInd w:val="0"/>
              <w:spacing w:before="80" w:after="80"/>
              <w:jc w:val="right"/>
              <w:rPr>
                <w:rFonts w:ascii="Calibri" w:hAnsi="Calibri" w:cs="Calibri"/>
                <w:color w:val="000000"/>
                <w:sz w:val="20"/>
                <w:szCs w:val="20"/>
              </w:rPr>
            </w:pPr>
            <w:r w:rsidRPr="00FB27EB">
              <w:rPr>
                <w:rFonts w:ascii="Calibri" w:hAnsi="Calibri" w:cs="Calibri"/>
                <w:color w:val="000000"/>
                <w:sz w:val="20"/>
                <w:szCs w:val="20"/>
              </w:rPr>
              <w:t>-8.17</w:t>
            </w:r>
          </w:p>
        </w:tc>
        <w:tc>
          <w:tcPr>
            <w:tcW w:w="810" w:type="dxa"/>
            <w:tcBorders>
              <w:top w:val="nil"/>
              <w:left w:val="nil"/>
              <w:bottom w:val="nil"/>
              <w:right w:val="nil"/>
            </w:tcBorders>
            <w:shd w:val="clear" w:color="auto" w:fill="FFFFFF"/>
            <w:vAlign w:val="bottom"/>
          </w:tcPr>
          <w:p w:rsidR="000821EB" w:rsidRPr="00FB27EB" w:rsidRDefault="000821EB" w:rsidP="00725735">
            <w:pPr>
              <w:keepNext/>
              <w:autoSpaceDE w:val="0"/>
              <w:autoSpaceDN w:val="0"/>
              <w:adjustRightInd w:val="0"/>
              <w:spacing w:before="80" w:after="80"/>
              <w:jc w:val="right"/>
              <w:rPr>
                <w:rFonts w:ascii="Calibri" w:hAnsi="Calibri" w:cs="Calibri"/>
                <w:color w:val="000000"/>
                <w:sz w:val="20"/>
                <w:szCs w:val="20"/>
              </w:rPr>
            </w:pPr>
            <w:r w:rsidRPr="00FB27EB">
              <w:rPr>
                <w:rFonts w:ascii="Calibri" w:hAnsi="Calibri" w:cs="Calibri"/>
                <w:color w:val="000000"/>
                <w:sz w:val="20"/>
                <w:szCs w:val="20"/>
              </w:rPr>
              <w:t>161.0</w:t>
            </w:r>
          </w:p>
        </w:tc>
      </w:tr>
      <w:tr w:rsidR="00FB27EB" w:rsidRPr="00FB27EB" w:rsidTr="000323A3">
        <w:trPr>
          <w:cantSplit/>
        </w:trPr>
        <w:tc>
          <w:tcPr>
            <w:tcW w:w="810" w:type="dxa"/>
            <w:vMerge/>
            <w:tcBorders>
              <w:top w:val="nil"/>
              <w:left w:val="nil"/>
              <w:bottom w:val="nil"/>
              <w:right w:val="nil"/>
            </w:tcBorders>
            <w:shd w:val="clear" w:color="auto" w:fill="FFFFFF"/>
            <w:tcMar>
              <w:left w:w="80" w:type="dxa"/>
              <w:right w:w="80" w:type="dxa"/>
            </w:tcMar>
          </w:tcPr>
          <w:p w:rsidR="000821EB" w:rsidRPr="00CB376B" w:rsidRDefault="000821EB" w:rsidP="00CB376B">
            <w:pPr>
              <w:keepNext/>
              <w:autoSpaceDE w:val="0"/>
              <w:autoSpaceDN w:val="0"/>
              <w:adjustRightInd w:val="0"/>
              <w:rPr>
                <w:rFonts w:ascii="Times New Roman" w:hAnsi="Times New Roman"/>
                <w:sz w:val="20"/>
                <w:szCs w:val="20"/>
              </w:rPr>
            </w:pPr>
          </w:p>
        </w:tc>
        <w:tc>
          <w:tcPr>
            <w:tcW w:w="1530" w:type="dxa"/>
            <w:tcBorders>
              <w:top w:val="nil"/>
              <w:left w:val="nil"/>
              <w:bottom w:val="nil"/>
              <w:right w:val="nil"/>
            </w:tcBorders>
            <w:shd w:val="clear" w:color="auto" w:fill="FFFFFF"/>
            <w:tcMar>
              <w:left w:w="80" w:type="dxa"/>
              <w:right w:w="80" w:type="dxa"/>
            </w:tcMar>
          </w:tcPr>
          <w:p w:rsidR="000821EB" w:rsidRPr="00CB376B" w:rsidRDefault="000821EB" w:rsidP="00CB376B">
            <w:pPr>
              <w:keepNext/>
              <w:autoSpaceDE w:val="0"/>
              <w:autoSpaceDN w:val="0"/>
              <w:adjustRightInd w:val="0"/>
              <w:spacing w:before="80" w:after="80"/>
              <w:rPr>
                <w:rFonts w:ascii="Calibri" w:hAnsi="Calibri" w:cs="Calibri"/>
                <w:b/>
                <w:bCs/>
                <w:color w:val="000000"/>
                <w:sz w:val="20"/>
                <w:szCs w:val="20"/>
              </w:rPr>
            </w:pPr>
            <w:r w:rsidRPr="00CB376B">
              <w:rPr>
                <w:rFonts w:ascii="Calibri" w:hAnsi="Calibri" w:cs="Calibri"/>
                <w:b/>
                <w:bCs/>
                <w:color w:val="000000"/>
                <w:sz w:val="20"/>
                <w:szCs w:val="20"/>
              </w:rPr>
              <w:t>Unadjusted</w:t>
            </w:r>
          </w:p>
        </w:tc>
        <w:tc>
          <w:tcPr>
            <w:tcW w:w="900" w:type="dxa"/>
            <w:tcBorders>
              <w:top w:val="nil"/>
              <w:left w:val="nil"/>
              <w:bottom w:val="nil"/>
              <w:right w:val="nil"/>
            </w:tcBorders>
            <w:shd w:val="clear" w:color="auto" w:fill="FFFFFF"/>
            <w:tcMar>
              <w:left w:w="80" w:type="dxa"/>
              <w:right w:w="80" w:type="dxa"/>
            </w:tcMar>
          </w:tcPr>
          <w:p w:rsidR="000821EB" w:rsidRPr="00FB27EB" w:rsidRDefault="000821EB" w:rsidP="00725735">
            <w:pPr>
              <w:keepNext/>
              <w:autoSpaceDE w:val="0"/>
              <w:autoSpaceDN w:val="0"/>
              <w:adjustRightInd w:val="0"/>
              <w:spacing w:before="80" w:after="80"/>
              <w:rPr>
                <w:rFonts w:ascii="Calibri" w:hAnsi="Calibri" w:cs="Calibri"/>
                <w:b/>
                <w:bCs/>
                <w:color w:val="000000"/>
                <w:sz w:val="20"/>
                <w:szCs w:val="20"/>
              </w:rPr>
            </w:pPr>
            <w:r w:rsidRPr="00FB27EB">
              <w:rPr>
                <w:rFonts w:ascii="Calibri" w:hAnsi="Calibri" w:cs="Calibri"/>
                <w:b/>
                <w:bCs/>
                <w:color w:val="000000"/>
                <w:sz w:val="20"/>
                <w:szCs w:val="20"/>
              </w:rPr>
              <w:t>0¢</w:t>
            </w:r>
          </w:p>
        </w:tc>
        <w:tc>
          <w:tcPr>
            <w:tcW w:w="1080" w:type="dxa"/>
            <w:tcBorders>
              <w:top w:val="nil"/>
              <w:left w:val="nil"/>
              <w:bottom w:val="nil"/>
              <w:right w:val="nil"/>
            </w:tcBorders>
            <w:shd w:val="clear" w:color="auto" w:fill="FFFFFF"/>
            <w:tcMar>
              <w:left w:w="80" w:type="dxa"/>
              <w:right w:w="80" w:type="dxa"/>
            </w:tcMar>
            <w:vAlign w:val="bottom"/>
          </w:tcPr>
          <w:p w:rsidR="000821EB" w:rsidRPr="00CB376B" w:rsidRDefault="000821EB" w:rsidP="00CB376B">
            <w:pPr>
              <w:keepNext/>
              <w:autoSpaceDE w:val="0"/>
              <w:autoSpaceDN w:val="0"/>
              <w:adjustRightInd w:val="0"/>
              <w:spacing w:before="80" w:after="80"/>
              <w:jc w:val="right"/>
              <w:rPr>
                <w:rFonts w:ascii="Calibri" w:hAnsi="Calibri" w:cs="Calibri"/>
                <w:color w:val="000000"/>
                <w:sz w:val="20"/>
                <w:szCs w:val="20"/>
              </w:rPr>
            </w:pPr>
            <w:r w:rsidRPr="00CB376B">
              <w:rPr>
                <w:rFonts w:ascii="Calibri" w:hAnsi="Calibri" w:cs="Calibri"/>
                <w:color w:val="000000"/>
                <w:sz w:val="20"/>
                <w:szCs w:val="20"/>
              </w:rPr>
              <w:t>0.21%</w:t>
            </w:r>
          </w:p>
        </w:tc>
        <w:tc>
          <w:tcPr>
            <w:tcW w:w="1080" w:type="dxa"/>
            <w:tcBorders>
              <w:top w:val="nil"/>
              <w:left w:val="nil"/>
              <w:bottom w:val="nil"/>
              <w:right w:val="nil"/>
            </w:tcBorders>
            <w:shd w:val="clear" w:color="auto" w:fill="FFFFFF"/>
            <w:tcMar>
              <w:left w:w="80" w:type="dxa"/>
              <w:right w:w="80" w:type="dxa"/>
            </w:tcMar>
            <w:vAlign w:val="bottom"/>
          </w:tcPr>
          <w:p w:rsidR="000821EB" w:rsidRPr="00CB376B" w:rsidRDefault="000821EB" w:rsidP="00CB376B">
            <w:pPr>
              <w:keepNext/>
              <w:autoSpaceDE w:val="0"/>
              <w:autoSpaceDN w:val="0"/>
              <w:adjustRightInd w:val="0"/>
              <w:spacing w:before="80" w:after="80"/>
              <w:jc w:val="right"/>
              <w:rPr>
                <w:rFonts w:ascii="Calibri" w:hAnsi="Calibri" w:cs="Calibri"/>
                <w:color w:val="000000"/>
                <w:sz w:val="20"/>
                <w:szCs w:val="20"/>
              </w:rPr>
            </w:pPr>
            <w:r w:rsidRPr="00CB376B">
              <w:rPr>
                <w:rFonts w:ascii="Calibri" w:hAnsi="Calibri" w:cs="Calibri"/>
                <w:color w:val="000000"/>
                <w:sz w:val="20"/>
                <w:szCs w:val="20"/>
              </w:rPr>
              <w:t>0.33</w:t>
            </w:r>
          </w:p>
        </w:tc>
        <w:tc>
          <w:tcPr>
            <w:tcW w:w="900" w:type="dxa"/>
            <w:tcBorders>
              <w:top w:val="nil"/>
              <w:left w:val="nil"/>
              <w:bottom w:val="nil"/>
              <w:right w:val="nil"/>
            </w:tcBorders>
            <w:shd w:val="clear" w:color="auto" w:fill="FFFFFF"/>
            <w:tcMar>
              <w:left w:w="80" w:type="dxa"/>
              <w:right w:w="80" w:type="dxa"/>
            </w:tcMar>
            <w:vAlign w:val="bottom"/>
          </w:tcPr>
          <w:p w:rsidR="000821EB" w:rsidRPr="00CB376B" w:rsidRDefault="000821EB" w:rsidP="00CB376B">
            <w:pPr>
              <w:keepNext/>
              <w:autoSpaceDE w:val="0"/>
              <w:autoSpaceDN w:val="0"/>
              <w:adjustRightInd w:val="0"/>
              <w:spacing w:before="80" w:after="80"/>
              <w:jc w:val="right"/>
              <w:rPr>
                <w:rFonts w:ascii="Calibri" w:hAnsi="Calibri" w:cs="Calibri"/>
                <w:color w:val="000000"/>
                <w:sz w:val="20"/>
                <w:szCs w:val="20"/>
              </w:rPr>
            </w:pPr>
            <w:r w:rsidRPr="00CB376B">
              <w:rPr>
                <w:rFonts w:ascii="Calibri" w:hAnsi="Calibri" w:cs="Calibri"/>
                <w:color w:val="000000"/>
                <w:sz w:val="20"/>
                <w:szCs w:val="20"/>
              </w:rPr>
              <w:t>830</w:t>
            </w:r>
          </w:p>
        </w:tc>
        <w:tc>
          <w:tcPr>
            <w:tcW w:w="180" w:type="dxa"/>
            <w:tcBorders>
              <w:top w:val="nil"/>
              <w:left w:val="nil"/>
              <w:bottom w:val="nil"/>
              <w:right w:val="nil"/>
            </w:tcBorders>
            <w:shd w:val="clear" w:color="auto" w:fill="FFFFFF"/>
          </w:tcPr>
          <w:p w:rsidR="000821EB" w:rsidRPr="00FB27EB" w:rsidRDefault="000821EB" w:rsidP="00725735">
            <w:pPr>
              <w:keepNext/>
              <w:autoSpaceDE w:val="0"/>
              <w:autoSpaceDN w:val="0"/>
              <w:adjustRightInd w:val="0"/>
              <w:spacing w:before="80" w:after="80"/>
              <w:jc w:val="right"/>
              <w:rPr>
                <w:rFonts w:ascii="Calibri" w:hAnsi="Calibri" w:cs="Calibri"/>
                <w:color w:val="000000"/>
                <w:sz w:val="20"/>
                <w:szCs w:val="20"/>
              </w:rPr>
            </w:pPr>
          </w:p>
        </w:tc>
        <w:tc>
          <w:tcPr>
            <w:tcW w:w="990" w:type="dxa"/>
            <w:tcBorders>
              <w:top w:val="nil"/>
              <w:left w:val="nil"/>
              <w:bottom w:val="nil"/>
              <w:right w:val="nil"/>
            </w:tcBorders>
            <w:shd w:val="clear" w:color="auto" w:fill="FFFFFF"/>
            <w:vAlign w:val="bottom"/>
          </w:tcPr>
          <w:p w:rsidR="000821EB" w:rsidRPr="00FB27EB" w:rsidRDefault="000821EB" w:rsidP="00725735">
            <w:pPr>
              <w:keepNext/>
              <w:autoSpaceDE w:val="0"/>
              <w:autoSpaceDN w:val="0"/>
              <w:adjustRightInd w:val="0"/>
              <w:spacing w:before="80" w:after="80"/>
              <w:jc w:val="right"/>
              <w:rPr>
                <w:rFonts w:ascii="Calibri" w:hAnsi="Calibri" w:cs="Calibri"/>
                <w:color w:val="000000"/>
                <w:sz w:val="20"/>
                <w:szCs w:val="20"/>
              </w:rPr>
            </w:pPr>
            <w:r w:rsidRPr="00FB27EB">
              <w:rPr>
                <w:rFonts w:ascii="Calibri" w:hAnsi="Calibri" w:cs="Calibri"/>
                <w:color w:val="000000"/>
                <w:sz w:val="20"/>
                <w:szCs w:val="20"/>
              </w:rPr>
              <w:t>-0.32%</w:t>
            </w:r>
          </w:p>
        </w:tc>
        <w:tc>
          <w:tcPr>
            <w:tcW w:w="1080" w:type="dxa"/>
            <w:tcBorders>
              <w:top w:val="nil"/>
              <w:left w:val="nil"/>
              <w:bottom w:val="nil"/>
              <w:right w:val="nil"/>
            </w:tcBorders>
            <w:shd w:val="clear" w:color="auto" w:fill="FFFFFF"/>
            <w:vAlign w:val="bottom"/>
          </w:tcPr>
          <w:p w:rsidR="000821EB" w:rsidRPr="00FB27EB" w:rsidRDefault="000821EB" w:rsidP="00725735">
            <w:pPr>
              <w:keepNext/>
              <w:autoSpaceDE w:val="0"/>
              <w:autoSpaceDN w:val="0"/>
              <w:adjustRightInd w:val="0"/>
              <w:spacing w:before="80" w:after="80"/>
              <w:jc w:val="right"/>
              <w:rPr>
                <w:rFonts w:ascii="Calibri" w:hAnsi="Calibri" w:cs="Calibri"/>
                <w:color w:val="000000"/>
                <w:sz w:val="20"/>
                <w:szCs w:val="20"/>
              </w:rPr>
            </w:pPr>
            <w:r w:rsidRPr="00FB27EB">
              <w:rPr>
                <w:rFonts w:ascii="Calibri" w:hAnsi="Calibri" w:cs="Calibri"/>
                <w:color w:val="000000"/>
                <w:sz w:val="20"/>
                <w:szCs w:val="20"/>
              </w:rPr>
              <w:t>-0.90</w:t>
            </w:r>
          </w:p>
        </w:tc>
        <w:tc>
          <w:tcPr>
            <w:tcW w:w="810" w:type="dxa"/>
            <w:tcBorders>
              <w:top w:val="nil"/>
              <w:left w:val="nil"/>
              <w:bottom w:val="nil"/>
              <w:right w:val="nil"/>
            </w:tcBorders>
            <w:shd w:val="clear" w:color="auto" w:fill="FFFFFF"/>
            <w:vAlign w:val="bottom"/>
          </w:tcPr>
          <w:p w:rsidR="000821EB" w:rsidRPr="00FB27EB" w:rsidRDefault="000821EB" w:rsidP="00725735">
            <w:pPr>
              <w:keepNext/>
              <w:autoSpaceDE w:val="0"/>
              <w:autoSpaceDN w:val="0"/>
              <w:adjustRightInd w:val="0"/>
              <w:spacing w:before="80" w:after="80"/>
              <w:jc w:val="right"/>
              <w:rPr>
                <w:rFonts w:ascii="Calibri" w:hAnsi="Calibri" w:cs="Calibri"/>
                <w:color w:val="000000"/>
                <w:sz w:val="20"/>
                <w:szCs w:val="20"/>
              </w:rPr>
            </w:pPr>
            <w:r w:rsidRPr="00FB27EB">
              <w:rPr>
                <w:rFonts w:ascii="Calibri" w:hAnsi="Calibri" w:cs="Calibri"/>
                <w:color w:val="000000"/>
                <w:sz w:val="20"/>
                <w:szCs w:val="20"/>
              </w:rPr>
              <w:t>143.5</w:t>
            </w:r>
          </w:p>
        </w:tc>
      </w:tr>
      <w:tr w:rsidR="00FB27EB" w:rsidRPr="00FB27EB" w:rsidTr="000323A3">
        <w:trPr>
          <w:cantSplit/>
        </w:trPr>
        <w:tc>
          <w:tcPr>
            <w:tcW w:w="810" w:type="dxa"/>
            <w:vMerge/>
            <w:tcBorders>
              <w:top w:val="nil"/>
              <w:left w:val="nil"/>
              <w:bottom w:val="nil"/>
              <w:right w:val="nil"/>
            </w:tcBorders>
            <w:shd w:val="clear" w:color="auto" w:fill="FFFFFF"/>
            <w:tcMar>
              <w:left w:w="80" w:type="dxa"/>
              <w:right w:w="80" w:type="dxa"/>
            </w:tcMar>
          </w:tcPr>
          <w:p w:rsidR="000821EB" w:rsidRPr="00CB376B" w:rsidRDefault="000821EB" w:rsidP="00CB376B">
            <w:pPr>
              <w:autoSpaceDE w:val="0"/>
              <w:autoSpaceDN w:val="0"/>
              <w:adjustRightInd w:val="0"/>
              <w:rPr>
                <w:rFonts w:ascii="Times New Roman" w:hAnsi="Times New Roman"/>
                <w:sz w:val="20"/>
                <w:szCs w:val="20"/>
              </w:rPr>
            </w:pPr>
          </w:p>
        </w:tc>
        <w:tc>
          <w:tcPr>
            <w:tcW w:w="1530" w:type="dxa"/>
            <w:tcBorders>
              <w:top w:val="nil"/>
              <w:left w:val="nil"/>
              <w:bottom w:val="nil"/>
              <w:right w:val="nil"/>
            </w:tcBorders>
            <w:shd w:val="clear" w:color="auto" w:fill="FFFFFF"/>
            <w:tcMar>
              <w:left w:w="80" w:type="dxa"/>
              <w:right w:w="80" w:type="dxa"/>
            </w:tcMar>
          </w:tcPr>
          <w:p w:rsidR="000821EB" w:rsidRPr="00CB376B" w:rsidRDefault="000821EB" w:rsidP="00CB376B">
            <w:pPr>
              <w:autoSpaceDE w:val="0"/>
              <w:autoSpaceDN w:val="0"/>
              <w:adjustRightInd w:val="0"/>
              <w:spacing w:before="80" w:after="80"/>
              <w:rPr>
                <w:rFonts w:ascii="Calibri" w:hAnsi="Calibri" w:cs="Calibri"/>
                <w:b/>
                <w:bCs/>
                <w:color w:val="000000"/>
                <w:sz w:val="20"/>
                <w:szCs w:val="20"/>
              </w:rPr>
            </w:pPr>
            <w:r w:rsidRPr="00CB376B">
              <w:rPr>
                <w:rFonts w:ascii="Calibri" w:hAnsi="Calibri" w:cs="Calibri"/>
                <w:b/>
                <w:bCs/>
                <w:color w:val="000000"/>
                <w:sz w:val="20"/>
                <w:szCs w:val="20"/>
              </w:rPr>
              <w:t>Adjusted</w:t>
            </w:r>
          </w:p>
        </w:tc>
        <w:tc>
          <w:tcPr>
            <w:tcW w:w="900" w:type="dxa"/>
            <w:tcBorders>
              <w:top w:val="nil"/>
              <w:left w:val="nil"/>
              <w:bottom w:val="nil"/>
              <w:right w:val="nil"/>
            </w:tcBorders>
            <w:shd w:val="clear" w:color="auto" w:fill="FFFFFF"/>
            <w:tcMar>
              <w:left w:w="80" w:type="dxa"/>
              <w:right w:w="80" w:type="dxa"/>
            </w:tcMar>
          </w:tcPr>
          <w:p w:rsidR="000821EB" w:rsidRPr="00FB27EB" w:rsidRDefault="000821EB" w:rsidP="00725735">
            <w:pPr>
              <w:autoSpaceDE w:val="0"/>
              <w:autoSpaceDN w:val="0"/>
              <w:adjustRightInd w:val="0"/>
              <w:spacing w:before="80" w:after="80"/>
              <w:rPr>
                <w:rFonts w:ascii="Calibri" w:hAnsi="Calibri" w:cs="Calibri"/>
                <w:b/>
                <w:bCs/>
                <w:color w:val="000000"/>
                <w:sz w:val="20"/>
                <w:szCs w:val="20"/>
              </w:rPr>
            </w:pPr>
            <w:r w:rsidRPr="00FB27EB">
              <w:rPr>
                <w:rFonts w:ascii="Calibri" w:hAnsi="Calibri" w:cs="Calibri"/>
                <w:b/>
                <w:bCs/>
                <w:color w:val="000000"/>
                <w:sz w:val="20"/>
                <w:szCs w:val="20"/>
              </w:rPr>
              <w:t>0.275¢</w:t>
            </w:r>
          </w:p>
        </w:tc>
        <w:tc>
          <w:tcPr>
            <w:tcW w:w="1080" w:type="dxa"/>
            <w:tcBorders>
              <w:top w:val="nil"/>
              <w:left w:val="nil"/>
              <w:bottom w:val="nil"/>
              <w:right w:val="nil"/>
            </w:tcBorders>
            <w:shd w:val="clear" w:color="auto" w:fill="FFFFFF"/>
            <w:tcMar>
              <w:left w:w="80" w:type="dxa"/>
              <w:right w:w="80" w:type="dxa"/>
            </w:tcMar>
            <w:vAlign w:val="bottom"/>
          </w:tcPr>
          <w:p w:rsidR="000821EB" w:rsidRPr="00CB376B" w:rsidRDefault="000821EB" w:rsidP="00CB376B">
            <w:pPr>
              <w:autoSpaceDE w:val="0"/>
              <w:autoSpaceDN w:val="0"/>
              <w:adjustRightInd w:val="0"/>
              <w:spacing w:before="80" w:after="80"/>
              <w:jc w:val="right"/>
              <w:rPr>
                <w:rFonts w:ascii="Calibri" w:hAnsi="Calibri" w:cs="Calibri"/>
                <w:color w:val="000000"/>
                <w:sz w:val="20"/>
                <w:szCs w:val="20"/>
              </w:rPr>
            </w:pPr>
            <w:r w:rsidRPr="00CB376B">
              <w:rPr>
                <w:rFonts w:ascii="Calibri" w:hAnsi="Calibri" w:cs="Calibri"/>
                <w:color w:val="000000"/>
                <w:sz w:val="20"/>
                <w:szCs w:val="20"/>
              </w:rPr>
              <w:t>-0.23%</w:t>
            </w:r>
          </w:p>
        </w:tc>
        <w:tc>
          <w:tcPr>
            <w:tcW w:w="1080" w:type="dxa"/>
            <w:tcBorders>
              <w:top w:val="nil"/>
              <w:left w:val="nil"/>
              <w:bottom w:val="nil"/>
              <w:right w:val="nil"/>
            </w:tcBorders>
            <w:shd w:val="clear" w:color="auto" w:fill="FFFFFF"/>
            <w:tcMar>
              <w:left w:w="80" w:type="dxa"/>
              <w:right w:w="80" w:type="dxa"/>
            </w:tcMar>
            <w:vAlign w:val="bottom"/>
          </w:tcPr>
          <w:p w:rsidR="000821EB" w:rsidRPr="00CB376B" w:rsidRDefault="000821EB" w:rsidP="00CB376B">
            <w:pPr>
              <w:autoSpaceDE w:val="0"/>
              <w:autoSpaceDN w:val="0"/>
              <w:adjustRightInd w:val="0"/>
              <w:spacing w:before="80" w:after="80"/>
              <w:jc w:val="right"/>
              <w:rPr>
                <w:rFonts w:ascii="Calibri" w:hAnsi="Calibri" w:cs="Calibri"/>
                <w:color w:val="000000"/>
                <w:sz w:val="20"/>
                <w:szCs w:val="20"/>
              </w:rPr>
            </w:pPr>
            <w:r w:rsidRPr="00CB376B">
              <w:rPr>
                <w:rFonts w:ascii="Calibri" w:hAnsi="Calibri" w:cs="Calibri"/>
                <w:color w:val="000000"/>
                <w:sz w:val="20"/>
                <w:szCs w:val="20"/>
              </w:rPr>
              <w:t>-0.38</w:t>
            </w:r>
          </w:p>
        </w:tc>
        <w:tc>
          <w:tcPr>
            <w:tcW w:w="900" w:type="dxa"/>
            <w:tcBorders>
              <w:top w:val="nil"/>
              <w:left w:val="nil"/>
              <w:bottom w:val="nil"/>
              <w:right w:val="nil"/>
            </w:tcBorders>
            <w:shd w:val="clear" w:color="auto" w:fill="FFFFFF"/>
            <w:tcMar>
              <w:left w:w="80" w:type="dxa"/>
              <w:right w:w="80" w:type="dxa"/>
            </w:tcMar>
            <w:vAlign w:val="bottom"/>
          </w:tcPr>
          <w:p w:rsidR="000821EB" w:rsidRPr="00CB376B" w:rsidRDefault="000821EB" w:rsidP="00CB376B">
            <w:pPr>
              <w:autoSpaceDE w:val="0"/>
              <w:autoSpaceDN w:val="0"/>
              <w:adjustRightInd w:val="0"/>
              <w:spacing w:before="80" w:after="80"/>
              <w:jc w:val="right"/>
              <w:rPr>
                <w:rFonts w:ascii="Calibri" w:hAnsi="Calibri" w:cs="Calibri"/>
                <w:color w:val="000000"/>
                <w:sz w:val="20"/>
                <w:szCs w:val="20"/>
              </w:rPr>
            </w:pPr>
            <w:r w:rsidRPr="00CB376B">
              <w:rPr>
                <w:rFonts w:ascii="Calibri" w:hAnsi="Calibri" w:cs="Calibri"/>
                <w:color w:val="000000"/>
                <w:sz w:val="20"/>
                <w:szCs w:val="20"/>
              </w:rPr>
              <w:t>865</w:t>
            </w:r>
          </w:p>
        </w:tc>
        <w:tc>
          <w:tcPr>
            <w:tcW w:w="180" w:type="dxa"/>
            <w:tcBorders>
              <w:top w:val="nil"/>
              <w:left w:val="nil"/>
              <w:bottom w:val="nil"/>
              <w:right w:val="nil"/>
            </w:tcBorders>
            <w:shd w:val="clear" w:color="auto" w:fill="FFFFFF"/>
          </w:tcPr>
          <w:p w:rsidR="000821EB" w:rsidRPr="00FB27EB" w:rsidRDefault="000821EB" w:rsidP="00725735">
            <w:pPr>
              <w:keepNext/>
              <w:autoSpaceDE w:val="0"/>
              <w:autoSpaceDN w:val="0"/>
              <w:adjustRightInd w:val="0"/>
              <w:spacing w:before="80" w:after="80"/>
              <w:jc w:val="right"/>
              <w:rPr>
                <w:rFonts w:ascii="Calibri" w:hAnsi="Calibri" w:cs="Calibri"/>
                <w:color w:val="000000"/>
                <w:sz w:val="20"/>
                <w:szCs w:val="20"/>
              </w:rPr>
            </w:pPr>
          </w:p>
        </w:tc>
        <w:tc>
          <w:tcPr>
            <w:tcW w:w="990" w:type="dxa"/>
            <w:tcBorders>
              <w:top w:val="nil"/>
              <w:left w:val="nil"/>
              <w:bottom w:val="nil"/>
              <w:right w:val="nil"/>
            </w:tcBorders>
            <w:shd w:val="clear" w:color="auto" w:fill="FFFFFF"/>
            <w:vAlign w:val="bottom"/>
          </w:tcPr>
          <w:p w:rsidR="000821EB" w:rsidRPr="00FB27EB" w:rsidRDefault="000821EB" w:rsidP="00725735">
            <w:pPr>
              <w:keepNext/>
              <w:autoSpaceDE w:val="0"/>
              <w:autoSpaceDN w:val="0"/>
              <w:adjustRightInd w:val="0"/>
              <w:spacing w:before="80" w:after="80"/>
              <w:jc w:val="right"/>
              <w:rPr>
                <w:rFonts w:ascii="Calibri" w:hAnsi="Calibri" w:cs="Calibri"/>
                <w:color w:val="000000"/>
                <w:sz w:val="20"/>
                <w:szCs w:val="20"/>
              </w:rPr>
            </w:pPr>
            <w:r w:rsidRPr="00FB27EB">
              <w:rPr>
                <w:rFonts w:ascii="Calibri" w:hAnsi="Calibri" w:cs="Calibri"/>
                <w:color w:val="000000"/>
                <w:sz w:val="20"/>
                <w:szCs w:val="20"/>
              </w:rPr>
              <w:t>-0.79%</w:t>
            </w:r>
          </w:p>
        </w:tc>
        <w:tc>
          <w:tcPr>
            <w:tcW w:w="1080" w:type="dxa"/>
            <w:tcBorders>
              <w:top w:val="nil"/>
              <w:left w:val="nil"/>
              <w:bottom w:val="nil"/>
              <w:right w:val="nil"/>
            </w:tcBorders>
            <w:shd w:val="clear" w:color="auto" w:fill="FFFFFF"/>
            <w:vAlign w:val="bottom"/>
          </w:tcPr>
          <w:p w:rsidR="000821EB" w:rsidRPr="00FB27EB" w:rsidRDefault="000821EB" w:rsidP="00725735">
            <w:pPr>
              <w:keepNext/>
              <w:autoSpaceDE w:val="0"/>
              <w:autoSpaceDN w:val="0"/>
              <w:adjustRightInd w:val="0"/>
              <w:spacing w:before="80" w:after="80"/>
              <w:jc w:val="right"/>
              <w:rPr>
                <w:rFonts w:ascii="Calibri" w:hAnsi="Calibri" w:cs="Calibri"/>
                <w:color w:val="000000"/>
                <w:sz w:val="20"/>
                <w:szCs w:val="20"/>
              </w:rPr>
            </w:pPr>
            <w:r w:rsidRPr="00FB27EB">
              <w:rPr>
                <w:rFonts w:ascii="Calibri" w:hAnsi="Calibri" w:cs="Calibri"/>
                <w:color w:val="000000"/>
                <w:sz w:val="20"/>
                <w:szCs w:val="20"/>
              </w:rPr>
              <w:t>-1.88</w:t>
            </w:r>
          </w:p>
        </w:tc>
        <w:tc>
          <w:tcPr>
            <w:tcW w:w="810" w:type="dxa"/>
            <w:tcBorders>
              <w:top w:val="nil"/>
              <w:left w:val="nil"/>
              <w:bottom w:val="nil"/>
              <w:right w:val="nil"/>
            </w:tcBorders>
            <w:shd w:val="clear" w:color="auto" w:fill="FFFFFF"/>
            <w:vAlign w:val="bottom"/>
          </w:tcPr>
          <w:p w:rsidR="000821EB" w:rsidRPr="00FB27EB" w:rsidRDefault="000821EB" w:rsidP="00725735">
            <w:pPr>
              <w:keepNext/>
              <w:autoSpaceDE w:val="0"/>
              <w:autoSpaceDN w:val="0"/>
              <w:adjustRightInd w:val="0"/>
              <w:spacing w:before="80" w:after="80"/>
              <w:jc w:val="right"/>
              <w:rPr>
                <w:rFonts w:ascii="Calibri" w:hAnsi="Calibri" w:cs="Calibri"/>
                <w:color w:val="000000"/>
                <w:sz w:val="20"/>
                <w:szCs w:val="20"/>
              </w:rPr>
            </w:pPr>
            <w:r w:rsidRPr="00FB27EB">
              <w:rPr>
                <w:rFonts w:ascii="Calibri" w:hAnsi="Calibri" w:cs="Calibri"/>
                <w:color w:val="000000"/>
                <w:sz w:val="20"/>
                <w:szCs w:val="20"/>
              </w:rPr>
              <w:t>151.9</w:t>
            </w:r>
          </w:p>
        </w:tc>
      </w:tr>
      <w:tr w:rsidR="00FB27EB" w:rsidRPr="00FB27EB" w:rsidTr="000323A3">
        <w:trPr>
          <w:cantSplit/>
        </w:trPr>
        <w:tc>
          <w:tcPr>
            <w:tcW w:w="810" w:type="dxa"/>
            <w:vMerge w:val="restart"/>
            <w:tcBorders>
              <w:top w:val="nil"/>
              <w:left w:val="nil"/>
              <w:bottom w:val="nil"/>
              <w:right w:val="nil"/>
            </w:tcBorders>
            <w:shd w:val="clear" w:color="auto" w:fill="FFFFFF"/>
            <w:tcMar>
              <w:left w:w="80" w:type="dxa"/>
              <w:right w:w="80" w:type="dxa"/>
            </w:tcMar>
          </w:tcPr>
          <w:p w:rsidR="000821EB" w:rsidRPr="00CB376B" w:rsidRDefault="000821EB" w:rsidP="00CB376B">
            <w:pPr>
              <w:keepNext/>
              <w:autoSpaceDE w:val="0"/>
              <w:autoSpaceDN w:val="0"/>
              <w:adjustRightInd w:val="0"/>
              <w:spacing w:before="80" w:after="80"/>
              <w:rPr>
                <w:rFonts w:ascii="Calibri" w:hAnsi="Calibri" w:cs="Calibri"/>
                <w:b/>
                <w:bCs/>
                <w:color w:val="000000"/>
                <w:sz w:val="20"/>
                <w:szCs w:val="20"/>
              </w:rPr>
            </w:pPr>
            <w:r w:rsidRPr="00CB376B">
              <w:rPr>
                <w:rFonts w:ascii="Calibri" w:hAnsi="Calibri" w:cs="Calibri"/>
                <w:b/>
                <w:bCs/>
                <w:color w:val="000000"/>
                <w:sz w:val="20"/>
                <w:szCs w:val="20"/>
              </w:rPr>
              <w:t>30</w:t>
            </w:r>
          </w:p>
        </w:tc>
        <w:tc>
          <w:tcPr>
            <w:tcW w:w="1530" w:type="dxa"/>
            <w:tcBorders>
              <w:top w:val="nil"/>
              <w:left w:val="nil"/>
              <w:bottom w:val="nil"/>
              <w:right w:val="nil"/>
            </w:tcBorders>
            <w:shd w:val="clear" w:color="auto" w:fill="FFFFFF"/>
            <w:tcMar>
              <w:left w:w="80" w:type="dxa"/>
              <w:right w:w="80" w:type="dxa"/>
            </w:tcMar>
          </w:tcPr>
          <w:p w:rsidR="000821EB" w:rsidRPr="00CB376B" w:rsidRDefault="000821EB" w:rsidP="00CB376B">
            <w:pPr>
              <w:keepNext/>
              <w:autoSpaceDE w:val="0"/>
              <w:autoSpaceDN w:val="0"/>
              <w:adjustRightInd w:val="0"/>
              <w:spacing w:before="80" w:after="80"/>
              <w:rPr>
                <w:rFonts w:ascii="Calibri" w:hAnsi="Calibri" w:cs="Calibri"/>
                <w:b/>
                <w:bCs/>
                <w:color w:val="000000"/>
                <w:sz w:val="20"/>
                <w:szCs w:val="20"/>
              </w:rPr>
            </w:pPr>
            <w:r w:rsidRPr="00CB376B">
              <w:rPr>
                <w:rFonts w:ascii="Calibri" w:hAnsi="Calibri" w:cs="Calibri"/>
                <w:b/>
                <w:bCs/>
                <w:color w:val="000000"/>
                <w:sz w:val="20"/>
                <w:szCs w:val="20"/>
              </w:rPr>
              <w:t>Quote midpoint</w:t>
            </w:r>
          </w:p>
        </w:tc>
        <w:tc>
          <w:tcPr>
            <w:tcW w:w="900" w:type="dxa"/>
            <w:tcBorders>
              <w:top w:val="nil"/>
              <w:left w:val="nil"/>
              <w:bottom w:val="nil"/>
              <w:right w:val="nil"/>
            </w:tcBorders>
            <w:shd w:val="clear" w:color="auto" w:fill="FFFFFF"/>
            <w:tcMar>
              <w:left w:w="80" w:type="dxa"/>
              <w:right w:w="80" w:type="dxa"/>
            </w:tcMar>
          </w:tcPr>
          <w:p w:rsidR="000821EB" w:rsidRPr="00FB27EB" w:rsidRDefault="000821EB" w:rsidP="00725735">
            <w:pPr>
              <w:keepNext/>
              <w:autoSpaceDE w:val="0"/>
              <w:autoSpaceDN w:val="0"/>
              <w:adjustRightInd w:val="0"/>
              <w:spacing w:before="80" w:after="80"/>
              <w:rPr>
                <w:rFonts w:ascii="Calibri" w:hAnsi="Calibri" w:cs="Calibri"/>
                <w:b/>
                <w:bCs/>
                <w:color w:val="000000"/>
                <w:sz w:val="20"/>
                <w:szCs w:val="20"/>
              </w:rPr>
            </w:pPr>
          </w:p>
        </w:tc>
        <w:tc>
          <w:tcPr>
            <w:tcW w:w="1080" w:type="dxa"/>
            <w:tcBorders>
              <w:top w:val="nil"/>
              <w:left w:val="nil"/>
              <w:bottom w:val="nil"/>
              <w:right w:val="nil"/>
            </w:tcBorders>
            <w:shd w:val="clear" w:color="auto" w:fill="FFFFFF"/>
            <w:tcMar>
              <w:left w:w="80" w:type="dxa"/>
              <w:right w:w="80" w:type="dxa"/>
            </w:tcMar>
            <w:vAlign w:val="bottom"/>
          </w:tcPr>
          <w:p w:rsidR="000821EB" w:rsidRPr="00CB376B" w:rsidRDefault="000821EB" w:rsidP="00CB376B">
            <w:pPr>
              <w:keepNext/>
              <w:autoSpaceDE w:val="0"/>
              <w:autoSpaceDN w:val="0"/>
              <w:adjustRightInd w:val="0"/>
              <w:spacing w:before="80" w:after="80"/>
              <w:jc w:val="right"/>
              <w:rPr>
                <w:rFonts w:ascii="Calibri" w:hAnsi="Calibri" w:cs="Calibri"/>
                <w:color w:val="000000"/>
                <w:sz w:val="20"/>
                <w:szCs w:val="20"/>
              </w:rPr>
            </w:pPr>
            <w:r w:rsidRPr="00CB376B">
              <w:rPr>
                <w:rFonts w:ascii="Calibri" w:hAnsi="Calibri" w:cs="Calibri"/>
                <w:color w:val="000000"/>
                <w:sz w:val="20"/>
                <w:szCs w:val="20"/>
              </w:rPr>
              <w:t>-3.07%</w:t>
            </w:r>
          </w:p>
        </w:tc>
        <w:tc>
          <w:tcPr>
            <w:tcW w:w="1080" w:type="dxa"/>
            <w:tcBorders>
              <w:top w:val="nil"/>
              <w:left w:val="nil"/>
              <w:bottom w:val="nil"/>
              <w:right w:val="nil"/>
            </w:tcBorders>
            <w:shd w:val="clear" w:color="auto" w:fill="FFFFFF"/>
            <w:tcMar>
              <w:left w:w="80" w:type="dxa"/>
              <w:right w:w="80" w:type="dxa"/>
            </w:tcMar>
            <w:vAlign w:val="bottom"/>
          </w:tcPr>
          <w:p w:rsidR="000821EB" w:rsidRPr="00CB376B" w:rsidRDefault="000821EB" w:rsidP="00CB376B">
            <w:pPr>
              <w:keepNext/>
              <w:autoSpaceDE w:val="0"/>
              <w:autoSpaceDN w:val="0"/>
              <w:adjustRightInd w:val="0"/>
              <w:spacing w:before="80" w:after="80"/>
              <w:jc w:val="right"/>
              <w:rPr>
                <w:rFonts w:ascii="Calibri" w:hAnsi="Calibri" w:cs="Calibri"/>
                <w:color w:val="000000"/>
                <w:sz w:val="20"/>
                <w:szCs w:val="20"/>
              </w:rPr>
            </w:pPr>
            <w:r w:rsidRPr="00CB376B">
              <w:rPr>
                <w:rFonts w:ascii="Calibri" w:hAnsi="Calibri" w:cs="Calibri"/>
                <w:color w:val="000000"/>
                <w:sz w:val="20"/>
                <w:szCs w:val="20"/>
              </w:rPr>
              <w:t>-3.72</w:t>
            </w:r>
          </w:p>
        </w:tc>
        <w:tc>
          <w:tcPr>
            <w:tcW w:w="900" w:type="dxa"/>
            <w:tcBorders>
              <w:top w:val="nil"/>
              <w:left w:val="nil"/>
              <w:bottom w:val="nil"/>
              <w:right w:val="nil"/>
            </w:tcBorders>
            <w:shd w:val="clear" w:color="auto" w:fill="FFFFFF"/>
            <w:tcMar>
              <w:left w:w="80" w:type="dxa"/>
              <w:right w:w="80" w:type="dxa"/>
            </w:tcMar>
            <w:vAlign w:val="bottom"/>
          </w:tcPr>
          <w:p w:rsidR="000821EB" w:rsidRPr="00CB376B" w:rsidRDefault="000821EB" w:rsidP="00CB376B">
            <w:pPr>
              <w:keepNext/>
              <w:autoSpaceDE w:val="0"/>
              <w:autoSpaceDN w:val="0"/>
              <w:adjustRightInd w:val="0"/>
              <w:spacing w:before="80" w:after="80"/>
              <w:jc w:val="right"/>
              <w:rPr>
                <w:rFonts w:ascii="Calibri" w:hAnsi="Calibri" w:cs="Calibri"/>
                <w:color w:val="000000"/>
                <w:sz w:val="20"/>
                <w:szCs w:val="20"/>
              </w:rPr>
            </w:pPr>
            <w:r w:rsidRPr="00CB376B">
              <w:rPr>
                <w:rFonts w:ascii="Calibri" w:hAnsi="Calibri" w:cs="Calibri"/>
                <w:color w:val="000000"/>
                <w:sz w:val="20"/>
                <w:szCs w:val="20"/>
              </w:rPr>
              <w:t>1,188</w:t>
            </w:r>
          </w:p>
        </w:tc>
        <w:tc>
          <w:tcPr>
            <w:tcW w:w="180" w:type="dxa"/>
            <w:tcBorders>
              <w:top w:val="nil"/>
              <w:left w:val="nil"/>
              <w:bottom w:val="nil"/>
              <w:right w:val="nil"/>
            </w:tcBorders>
            <w:shd w:val="clear" w:color="auto" w:fill="FFFFFF"/>
          </w:tcPr>
          <w:p w:rsidR="000821EB" w:rsidRPr="00FB27EB" w:rsidRDefault="000821EB" w:rsidP="00725735">
            <w:pPr>
              <w:keepNext/>
              <w:autoSpaceDE w:val="0"/>
              <w:autoSpaceDN w:val="0"/>
              <w:adjustRightInd w:val="0"/>
              <w:spacing w:before="80" w:after="80"/>
              <w:jc w:val="right"/>
              <w:rPr>
                <w:rFonts w:ascii="Calibri" w:hAnsi="Calibri" w:cs="Calibri"/>
                <w:color w:val="000000"/>
                <w:sz w:val="20"/>
                <w:szCs w:val="20"/>
              </w:rPr>
            </w:pPr>
          </w:p>
        </w:tc>
        <w:tc>
          <w:tcPr>
            <w:tcW w:w="990" w:type="dxa"/>
            <w:tcBorders>
              <w:top w:val="nil"/>
              <w:left w:val="nil"/>
              <w:bottom w:val="nil"/>
              <w:right w:val="nil"/>
            </w:tcBorders>
            <w:shd w:val="clear" w:color="auto" w:fill="FFFFFF"/>
            <w:vAlign w:val="bottom"/>
          </w:tcPr>
          <w:p w:rsidR="000821EB" w:rsidRPr="00FB27EB" w:rsidRDefault="000821EB" w:rsidP="00725735">
            <w:pPr>
              <w:keepNext/>
              <w:autoSpaceDE w:val="0"/>
              <w:autoSpaceDN w:val="0"/>
              <w:adjustRightInd w:val="0"/>
              <w:spacing w:before="80" w:after="80"/>
              <w:jc w:val="right"/>
              <w:rPr>
                <w:rFonts w:ascii="Calibri" w:hAnsi="Calibri" w:cs="Calibri"/>
                <w:color w:val="000000"/>
                <w:sz w:val="20"/>
                <w:szCs w:val="20"/>
              </w:rPr>
            </w:pPr>
            <w:r w:rsidRPr="00FB27EB">
              <w:rPr>
                <w:rFonts w:ascii="Calibri" w:hAnsi="Calibri" w:cs="Calibri"/>
                <w:color w:val="000000"/>
                <w:sz w:val="20"/>
                <w:szCs w:val="20"/>
              </w:rPr>
              <w:t>-2.99%</w:t>
            </w:r>
          </w:p>
        </w:tc>
        <w:tc>
          <w:tcPr>
            <w:tcW w:w="1080" w:type="dxa"/>
            <w:tcBorders>
              <w:top w:val="nil"/>
              <w:left w:val="nil"/>
              <w:bottom w:val="nil"/>
              <w:right w:val="nil"/>
            </w:tcBorders>
            <w:shd w:val="clear" w:color="auto" w:fill="FFFFFF"/>
            <w:vAlign w:val="bottom"/>
          </w:tcPr>
          <w:p w:rsidR="000821EB" w:rsidRPr="00FB27EB" w:rsidRDefault="000821EB" w:rsidP="00725735">
            <w:pPr>
              <w:keepNext/>
              <w:autoSpaceDE w:val="0"/>
              <w:autoSpaceDN w:val="0"/>
              <w:adjustRightInd w:val="0"/>
              <w:spacing w:before="80" w:after="80"/>
              <w:jc w:val="right"/>
              <w:rPr>
                <w:rFonts w:ascii="Calibri" w:hAnsi="Calibri" w:cs="Calibri"/>
                <w:color w:val="000000"/>
                <w:sz w:val="20"/>
                <w:szCs w:val="20"/>
              </w:rPr>
            </w:pPr>
            <w:r w:rsidRPr="00FB27EB">
              <w:rPr>
                <w:rFonts w:ascii="Calibri" w:hAnsi="Calibri" w:cs="Calibri"/>
                <w:color w:val="000000"/>
                <w:sz w:val="20"/>
                <w:szCs w:val="20"/>
              </w:rPr>
              <w:t>-6.25</w:t>
            </w:r>
          </w:p>
        </w:tc>
        <w:tc>
          <w:tcPr>
            <w:tcW w:w="810" w:type="dxa"/>
            <w:tcBorders>
              <w:top w:val="nil"/>
              <w:left w:val="nil"/>
              <w:bottom w:val="nil"/>
              <w:right w:val="nil"/>
            </w:tcBorders>
            <w:shd w:val="clear" w:color="auto" w:fill="FFFFFF"/>
            <w:vAlign w:val="bottom"/>
          </w:tcPr>
          <w:p w:rsidR="000821EB" w:rsidRPr="00FB27EB" w:rsidRDefault="000821EB" w:rsidP="00725735">
            <w:pPr>
              <w:keepNext/>
              <w:autoSpaceDE w:val="0"/>
              <w:autoSpaceDN w:val="0"/>
              <w:adjustRightInd w:val="0"/>
              <w:spacing w:before="80" w:after="80"/>
              <w:jc w:val="right"/>
              <w:rPr>
                <w:rFonts w:ascii="Calibri" w:hAnsi="Calibri" w:cs="Calibri"/>
                <w:color w:val="000000"/>
                <w:sz w:val="20"/>
                <w:szCs w:val="20"/>
              </w:rPr>
            </w:pPr>
            <w:r w:rsidRPr="00FB27EB">
              <w:rPr>
                <w:rFonts w:ascii="Calibri" w:hAnsi="Calibri" w:cs="Calibri"/>
                <w:color w:val="000000"/>
                <w:sz w:val="20"/>
                <w:szCs w:val="20"/>
              </w:rPr>
              <w:t>236.2</w:t>
            </w:r>
          </w:p>
        </w:tc>
      </w:tr>
      <w:tr w:rsidR="00FB27EB" w:rsidRPr="00FB27EB" w:rsidTr="000323A3">
        <w:trPr>
          <w:cantSplit/>
        </w:trPr>
        <w:tc>
          <w:tcPr>
            <w:tcW w:w="810" w:type="dxa"/>
            <w:vMerge/>
            <w:tcBorders>
              <w:top w:val="nil"/>
              <w:left w:val="nil"/>
              <w:bottom w:val="nil"/>
              <w:right w:val="nil"/>
            </w:tcBorders>
            <w:shd w:val="clear" w:color="auto" w:fill="FFFFFF"/>
            <w:tcMar>
              <w:left w:w="80" w:type="dxa"/>
              <w:right w:w="80" w:type="dxa"/>
            </w:tcMar>
          </w:tcPr>
          <w:p w:rsidR="000821EB" w:rsidRPr="00CB376B" w:rsidRDefault="000821EB" w:rsidP="00CB376B">
            <w:pPr>
              <w:keepNext/>
              <w:autoSpaceDE w:val="0"/>
              <w:autoSpaceDN w:val="0"/>
              <w:adjustRightInd w:val="0"/>
              <w:rPr>
                <w:rFonts w:ascii="Times New Roman" w:hAnsi="Times New Roman"/>
                <w:sz w:val="20"/>
                <w:szCs w:val="20"/>
              </w:rPr>
            </w:pPr>
          </w:p>
        </w:tc>
        <w:tc>
          <w:tcPr>
            <w:tcW w:w="1530" w:type="dxa"/>
            <w:tcBorders>
              <w:top w:val="nil"/>
              <w:left w:val="nil"/>
              <w:bottom w:val="nil"/>
              <w:right w:val="nil"/>
            </w:tcBorders>
            <w:shd w:val="clear" w:color="auto" w:fill="FFFFFF"/>
            <w:tcMar>
              <w:left w:w="80" w:type="dxa"/>
              <w:right w:w="80" w:type="dxa"/>
            </w:tcMar>
          </w:tcPr>
          <w:p w:rsidR="000821EB" w:rsidRPr="00CB376B" w:rsidRDefault="000821EB" w:rsidP="00CB376B">
            <w:pPr>
              <w:keepNext/>
              <w:autoSpaceDE w:val="0"/>
              <w:autoSpaceDN w:val="0"/>
              <w:adjustRightInd w:val="0"/>
              <w:spacing w:before="80" w:after="80"/>
              <w:rPr>
                <w:rFonts w:ascii="Calibri" w:hAnsi="Calibri" w:cs="Calibri"/>
                <w:b/>
                <w:bCs/>
                <w:color w:val="000000"/>
                <w:sz w:val="20"/>
                <w:szCs w:val="20"/>
              </w:rPr>
            </w:pPr>
            <w:r w:rsidRPr="00CB376B">
              <w:rPr>
                <w:rFonts w:ascii="Calibri" w:hAnsi="Calibri" w:cs="Calibri"/>
                <w:b/>
                <w:bCs/>
                <w:color w:val="000000"/>
                <w:sz w:val="20"/>
                <w:szCs w:val="20"/>
              </w:rPr>
              <w:t>Unadjusted</w:t>
            </w:r>
          </w:p>
        </w:tc>
        <w:tc>
          <w:tcPr>
            <w:tcW w:w="900" w:type="dxa"/>
            <w:tcBorders>
              <w:top w:val="nil"/>
              <w:left w:val="nil"/>
              <w:bottom w:val="nil"/>
              <w:right w:val="nil"/>
            </w:tcBorders>
            <w:shd w:val="clear" w:color="auto" w:fill="FFFFFF"/>
            <w:tcMar>
              <w:left w:w="80" w:type="dxa"/>
              <w:right w:w="80" w:type="dxa"/>
            </w:tcMar>
          </w:tcPr>
          <w:p w:rsidR="000821EB" w:rsidRPr="00FB27EB" w:rsidRDefault="000821EB" w:rsidP="00725735">
            <w:pPr>
              <w:keepNext/>
              <w:autoSpaceDE w:val="0"/>
              <w:autoSpaceDN w:val="0"/>
              <w:adjustRightInd w:val="0"/>
              <w:spacing w:before="80" w:after="80"/>
              <w:rPr>
                <w:rFonts w:ascii="Calibri" w:hAnsi="Calibri" w:cs="Calibri"/>
                <w:b/>
                <w:bCs/>
                <w:color w:val="000000"/>
                <w:sz w:val="20"/>
                <w:szCs w:val="20"/>
              </w:rPr>
            </w:pPr>
            <w:r w:rsidRPr="00FB27EB">
              <w:rPr>
                <w:rFonts w:ascii="Calibri" w:hAnsi="Calibri" w:cs="Calibri"/>
                <w:b/>
                <w:bCs/>
                <w:color w:val="000000"/>
                <w:sz w:val="20"/>
                <w:szCs w:val="20"/>
              </w:rPr>
              <w:t>0¢</w:t>
            </w:r>
          </w:p>
        </w:tc>
        <w:tc>
          <w:tcPr>
            <w:tcW w:w="1080" w:type="dxa"/>
            <w:tcBorders>
              <w:top w:val="nil"/>
              <w:left w:val="nil"/>
              <w:bottom w:val="nil"/>
              <w:right w:val="nil"/>
            </w:tcBorders>
            <w:shd w:val="clear" w:color="auto" w:fill="FFFFFF"/>
            <w:tcMar>
              <w:left w:w="80" w:type="dxa"/>
              <w:right w:w="80" w:type="dxa"/>
            </w:tcMar>
            <w:vAlign w:val="bottom"/>
          </w:tcPr>
          <w:p w:rsidR="000821EB" w:rsidRPr="00CB376B" w:rsidRDefault="000821EB" w:rsidP="00CB376B">
            <w:pPr>
              <w:keepNext/>
              <w:autoSpaceDE w:val="0"/>
              <w:autoSpaceDN w:val="0"/>
              <w:adjustRightInd w:val="0"/>
              <w:spacing w:before="80" w:after="80"/>
              <w:jc w:val="right"/>
              <w:rPr>
                <w:rFonts w:ascii="Calibri" w:hAnsi="Calibri" w:cs="Calibri"/>
                <w:color w:val="000000"/>
                <w:sz w:val="20"/>
                <w:szCs w:val="20"/>
              </w:rPr>
            </w:pPr>
            <w:r w:rsidRPr="00CB376B">
              <w:rPr>
                <w:rFonts w:ascii="Calibri" w:hAnsi="Calibri" w:cs="Calibri"/>
                <w:color w:val="000000"/>
                <w:sz w:val="20"/>
                <w:szCs w:val="20"/>
              </w:rPr>
              <w:t>-0.46%</w:t>
            </w:r>
          </w:p>
        </w:tc>
        <w:tc>
          <w:tcPr>
            <w:tcW w:w="1080" w:type="dxa"/>
            <w:tcBorders>
              <w:top w:val="nil"/>
              <w:left w:val="nil"/>
              <w:bottom w:val="nil"/>
              <w:right w:val="nil"/>
            </w:tcBorders>
            <w:shd w:val="clear" w:color="auto" w:fill="FFFFFF"/>
            <w:tcMar>
              <w:left w:w="80" w:type="dxa"/>
              <w:right w:w="80" w:type="dxa"/>
            </w:tcMar>
            <w:vAlign w:val="bottom"/>
          </w:tcPr>
          <w:p w:rsidR="000821EB" w:rsidRPr="00CB376B" w:rsidRDefault="000821EB" w:rsidP="00CB376B">
            <w:pPr>
              <w:keepNext/>
              <w:autoSpaceDE w:val="0"/>
              <w:autoSpaceDN w:val="0"/>
              <w:adjustRightInd w:val="0"/>
              <w:spacing w:before="80" w:after="80"/>
              <w:jc w:val="right"/>
              <w:rPr>
                <w:rFonts w:ascii="Calibri" w:hAnsi="Calibri" w:cs="Calibri"/>
                <w:color w:val="000000"/>
                <w:sz w:val="20"/>
                <w:szCs w:val="20"/>
              </w:rPr>
            </w:pPr>
            <w:r w:rsidRPr="00CB376B">
              <w:rPr>
                <w:rFonts w:ascii="Calibri" w:hAnsi="Calibri" w:cs="Calibri"/>
                <w:color w:val="000000"/>
                <w:sz w:val="20"/>
                <w:szCs w:val="20"/>
              </w:rPr>
              <w:t>-0.64</w:t>
            </w:r>
          </w:p>
        </w:tc>
        <w:tc>
          <w:tcPr>
            <w:tcW w:w="900" w:type="dxa"/>
            <w:tcBorders>
              <w:top w:val="nil"/>
              <w:left w:val="nil"/>
              <w:bottom w:val="nil"/>
              <w:right w:val="nil"/>
            </w:tcBorders>
            <w:shd w:val="clear" w:color="auto" w:fill="FFFFFF"/>
            <w:tcMar>
              <w:left w:w="80" w:type="dxa"/>
              <w:right w:w="80" w:type="dxa"/>
            </w:tcMar>
            <w:vAlign w:val="bottom"/>
          </w:tcPr>
          <w:p w:rsidR="000821EB" w:rsidRPr="00CB376B" w:rsidRDefault="000821EB" w:rsidP="00CB376B">
            <w:pPr>
              <w:keepNext/>
              <w:autoSpaceDE w:val="0"/>
              <w:autoSpaceDN w:val="0"/>
              <w:adjustRightInd w:val="0"/>
              <w:spacing w:before="80" w:after="80"/>
              <w:jc w:val="right"/>
              <w:rPr>
                <w:rFonts w:ascii="Calibri" w:hAnsi="Calibri" w:cs="Calibri"/>
                <w:color w:val="000000"/>
                <w:sz w:val="20"/>
                <w:szCs w:val="20"/>
              </w:rPr>
            </w:pPr>
            <w:r w:rsidRPr="00CB376B">
              <w:rPr>
                <w:rFonts w:ascii="Calibri" w:hAnsi="Calibri" w:cs="Calibri"/>
                <w:color w:val="000000"/>
                <w:sz w:val="20"/>
                <w:szCs w:val="20"/>
              </w:rPr>
              <w:t>1,140</w:t>
            </w:r>
          </w:p>
        </w:tc>
        <w:tc>
          <w:tcPr>
            <w:tcW w:w="180" w:type="dxa"/>
            <w:tcBorders>
              <w:top w:val="nil"/>
              <w:left w:val="nil"/>
              <w:bottom w:val="nil"/>
              <w:right w:val="nil"/>
            </w:tcBorders>
            <w:shd w:val="clear" w:color="auto" w:fill="FFFFFF"/>
          </w:tcPr>
          <w:p w:rsidR="000821EB" w:rsidRPr="00FB27EB" w:rsidRDefault="000821EB" w:rsidP="00725735">
            <w:pPr>
              <w:keepNext/>
              <w:autoSpaceDE w:val="0"/>
              <w:autoSpaceDN w:val="0"/>
              <w:adjustRightInd w:val="0"/>
              <w:spacing w:before="80" w:after="80"/>
              <w:jc w:val="right"/>
              <w:rPr>
                <w:rFonts w:ascii="Calibri" w:hAnsi="Calibri" w:cs="Calibri"/>
                <w:color w:val="000000"/>
                <w:sz w:val="20"/>
                <w:szCs w:val="20"/>
              </w:rPr>
            </w:pPr>
          </w:p>
        </w:tc>
        <w:tc>
          <w:tcPr>
            <w:tcW w:w="990" w:type="dxa"/>
            <w:tcBorders>
              <w:top w:val="nil"/>
              <w:left w:val="nil"/>
              <w:bottom w:val="nil"/>
              <w:right w:val="nil"/>
            </w:tcBorders>
            <w:shd w:val="clear" w:color="auto" w:fill="FFFFFF"/>
            <w:vAlign w:val="bottom"/>
          </w:tcPr>
          <w:p w:rsidR="000821EB" w:rsidRPr="00FB27EB" w:rsidRDefault="000821EB" w:rsidP="00725735">
            <w:pPr>
              <w:keepNext/>
              <w:autoSpaceDE w:val="0"/>
              <w:autoSpaceDN w:val="0"/>
              <w:adjustRightInd w:val="0"/>
              <w:spacing w:before="80" w:after="80"/>
              <w:jc w:val="right"/>
              <w:rPr>
                <w:rFonts w:ascii="Calibri" w:hAnsi="Calibri" w:cs="Calibri"/>
                <w:color w:val="000000"/>
                <w:sz w:val="20"/>
                <w:szCs w:val="20"/>
              </w:rPr>
            </w:pPr>
            <w:r w:rsidRPr="00FB27EB">
              <w:rPr>
                <w:rFonts w:ascii="Calibri" w:hAnsi="Calibri" w:cs="Calibri"/>
                <w:color w:val="000000"/>
                <w:sz w:val="20"/>
                <w:szCs w:val="20"/>
              </w:rPr>
              <w:t>-0.34%</w:t>
            </w:r>
          </w:p>
        </w:tc>
        <w:tc>
          <w:tcPr>
            <w:tcW w:w="1080" w:type="dxa"/>
            <w:tcBorders>
              <w:top w:val="nil"/>
              <w:left w:val="nil"/>
              <w:bottom w:val="nil"/>
              <w:right w:val="nil"/>
            </w:tcBorders>
            <w:shd w:val="clear" w:color="auto" w:fill="FFFFFF"/>
            <w:vAlign w:val="bottom"/>
          </w:tcPr>
          <w:p w:rsidR="000821EB" w:rsidRPr="00FB27EB" w:rsidRDefault="000821EB" w:rsidP="00725735">
            <w:pPr>
              <w:keepNext/>
              <w:autoSpaceDE w:val="0"/>
              <w:autoSpaceDN w:val="0"/>
              <w:adjustRightInd w:val="0"/>
              <w:spacing w:before="80" w:after="80"/>
              <w:jc w:val="right"/>
              <w:rPr>
                <w:rFonts w:ascii="Calibri" w:hAnsi="Calibri" w:cs="Calibri"/>
                <w:color w:val="000000"/>
                <w:sz w:val="20"/>
                <w:szCs w:val="20"/>
              </w:rPr>
            </w:pPr>
            <w:r w:rsidRPr="00FB27EB">
              <w:rPr>
                <w:rFonts w:ascii="Calibri" w:hAnsi="Calibri" w:cs="Calibri"/>
                <w:color w:val="000000"/>
                <w:sz w:val="20"/>
                <w:szCs w:val="20"/>
              </w:rPr>
              <w:t>-0.80</w:t>
            </w:r>
          </w:p>
        </w:tc>
        <w:tc>
          <w:tcPr>
            <w:tcW w:w="810" w:type="dxa"/>
            <w:tcBorders>
              <w:top w:val="nil"/>
              <w:left w:val="nil"/>
              <w:bottom w:val="nil"/>
              <w:right w:val="nil"/>
            </w:tcBorders>
            <w:shd w:val="clear" w:color="auto" w:fill="FFFFFF"/>
            <w:vAlign w:val="bottom"/>
          </w:tcPr>
          <w:p w:rsidR="000821EB" w:rsidRPr="00FB27EB" w:rsidRDefault="000821EB" w:rsidP="00725735">
            <w:pPr>
              <w:keepNext/>
              <w:autoSpaceDE w:val="0"/>
              <w:autoSpaceDN w:val="0"/>
              <w:adjustRightInd w:val="0"/>
              <w:spacing w:before="80" w:after="80"/>
              <w:jc w:val="right"/>
              <w:rPr>
                <w:rFonts w:ascii="Calibri" w:hAnsi="Calibri" w:cs="Calibri"/>
                <w:color w:val="000000"/>
                <w:sz w:val="20"/>
                <w:szCs w:val="20"/>
              </w:rPr>
            </w:pPr>
            <w:r w:rsidRPr="00FB27EB">
              <w:rPr>
                <w:rFonts w:ascii="Calibri" w:hAnsi="Calibri" w:cs="Calibri"/>
                <w:color w:val="000000"/>
                <w:sz w:val="20"/>
                <w:szCs w:val="20"/>
              </w:rPr>
              <w:t>214.9</w:t>
            </w:r>
          </w:p>
        </w:tc>
      </w:tr>
      <w:tr w:rsidR="00FB27EB" w:rsidRPr="00FB27EB" w:rsidTr="000323A3">
        <w:trPr>
          <w:cantSplit/>
        </w:trPr>
        <w:tc>
          <w:tcPr>
            <w:tcW w:w="810" w:type="dxa"/>
            <w:vMerge/>
            <w:tcBorders>
              <w:top w:val="nil"/>
              <w:left w:val="nil"/>
              <w:bottom w:val="nil"/>
              <w:right w:val="nil"/>
            </w:tcBorders>
            <w:shd w:val="clear" w:color="auto" w:fill="FFFFFF"/>
            <w:tcMar>
              <w:left w:w="80" w:type="dxa"/>
              <w:right w:w="80" w:type="dxa"/>
            </w:tcMar>
          </w:tcPr>
          <w:p w:rsidR="000821EB" w:rsidRPr="00CB376B" w:rsidRDefault="000821EB" w:rsidP="00CB376B">
            <w:pPr>
              <w:autoSpaceDE w:val="0"/>
              <w:autoSpaceDN w:val="0"/>
              <w:adjustRightInd w:val="0"/>
              <w:rPr>
                <w:rFonts w:ascii="Times New Roman" w:hAnsi="Times New Roman"/>
                <w:sz w:val="20"/>
                <w:szCs w:val="20"/>
              </w:rPr>
            </w:pPr>
          </w:p>
        </w:tc>
        <w:tc>
          <w:tcPr>
            <w:tcW w:w="1530" w:type="dxa"/>
            <w:tcBorders>
              <w:top w:val="nil"/>
              <w:left w:val="nil"/>
              <w:bottom w:val="nil"/>
              <w:right w:val="nil"/>
            </w:tcBorders>
            <w:shd w:val="clear" w:color="auto" w:fill="FFFFFF"/>
            <w:tcMar>
              <w:left w:w="80" w:type="dxa"/>
              <w:right w:w="80" w:type="dxa"/>
            </w:tcMar>
          </w:tcPr>
          <w:p w:rsidR="000821EB" w:rsidRPr="00CB376B" w:rsidRDefault="000821EB" w:rsidP="00CB376B">
            <w:pPr>
              <w:autoSpaceDE w:val="0"/>
              <w:autoSpaceDN w:val="0"/>
              <w:adjustRightInd w:val="0"/>
              <w:spacing w:before="80" w:after="80"/>
              <w:rPr>
                <w:rFonts w:ascii="Calibri" w:hAnsi="Calibri" w:cs="Calibri"/>
                <w:b/>
                <w:bCs/>
                <w:color w:val="000000"/>
                <w:sz w:val="20"/>
                <w:szCs w:val="20"/>
              </w:rPr>
            </w:pPr>
            <w:r w:rsidRPr="00CB376B">
              <w:rPr>
                <w:rFonts w:ascii="Calibri" w:hAnsi="Calibri" w:cs="Calibri"/>
                <w:b/>
                <w:bCs/>
                <w:color w:val="000000"/>
                <w:sz w:val="20"/>
                <w:szCs w:val="20"/>
              </w:rPr>
              <w:t>Adjusted</w:t>
            </w:r>
          </w:p>
        </w:tc>
        <w:tc>
          <w:tcPr>
            <w:tcW w:w="900" w:type="dxa"/>
            <w:tcBorders>
              <w:top w:val="nil"/>
              <w:left w:val="nil"/>
              <w:bottom w:val="nil"/>
              <w:right w:val="nil"/>
            </w:tcBorders>
            <w:shd w:val="clear" w:color="auto" w:fill="FFFFFF"/>
            <w:tcMar>
              <w:left w:w="80" w:type="dxa"/>
              <w:right w:w="80" w:type="dxa"/>
            </w:tcMar>
          </w:tcPr>
          <w:p w:rsidR="000821EB" w:rsidRPr="00FB27EB" w:rsidRDefault="000821EB" w:rsidP="00725735">
            <w:pPr>
              <w:autoSpaceDE w:val="0"/>
              <w:autoSpaceDN w:val="0"/>
              <w:adjustRightInd w:val="0"/>
              <w:spacing w:before="80" w:after="80"/>
              <w:rPr>
                <w:rFonts w:ascii="Calibri" w:hAnsi="Calibri" w:cs="Calibri"/>
                <w:b/>
                <w:bCs/>
                <w:color w:val="000000"/>
                <w:sz w:val="20"/>
                <w:szCs w:val="20"/>
              </w:rPr>
            </w:pPr>
            <w:r w:rsidRPr="00FB27EB">
              <w:rPr>
                <w:rFonts w:ascii="Calibri" w:hAnsi="Calibri" w:cs="Calibri"/>
                <w:b/>
                <w:bCs/>
                <w:color w:val="000000"/>
                <w:sz w:val="20"/>
                <w:szCs w:val="20"/>
              </w:rPr>
              <w:t>0.275¢</w:t>
            </w:r>
          </w:p>
        </w:tc>
        <w:tc>
          <w:tcPr>
            <w:tcW w:w="1080" w:type="dxa"/>
            <w:tcBorders>
              <w:top w:val="nil"/>
              <w:left w:val="nil"/>
              <w:bottom w:val="nil"/>
              <w:right w:val="nil"/>
            </w:tcBorders>
            <w:shd w:val="clear" w:color="auto" w:fill="FFFFFF"/>
            <w:tcMar>
              <w:left w:w="80" w:type="dxa"/>
              <w:right w:w="80" w:type="dxa"/>
            </w:tcMar>
            <w:vAlign w:val="bottom"/>
          </w:tcPr>
          <w:p w:rsidR="000821EB" w:rsidRPr="00CB376B" w:rsidRDefault="000821EB" w:rsidP="00CB376B">
            <w:pPr>
              <w:autoSpaceDE w:val="0"/>
              <w:autoSpaceDN w:val="0"/>
              <w:adjustRightInd w:val="0"/>
              <w:spacing w:before="80" w:after="80"/>
              <w:jc w:val="right"/>
              <w:rPr>
                <w:rFonts w:ascii="Calibri" w:hAnsi="Calibri" w:cs="Calibri"/>
                <w:color w:val="000000"/>
                <w:sz w:val="20"/>
                <w:szCs w:val="20"/>
              </w:rPr>
            </w:pPr>
            <w:r w:rsidRPr="00CB376B">
              <w:rPr>
                <w:rFonts w:ascii="Calibri" w:hAnsi="Calibri" w:cs="Calibri"/>
                <w:color w:val="000000"/>
                <w:sz w:val="20"/>
                <w:szCs w:val="20"/>
              </w:rPr>
              <w:t>-1.29%</w:t>
            </w:r>
          </w:p>
        </w:tc>
        <w:tc>
          <w:tcPr>
            <w:tcW w:w="1080" w:type="dxa"/>
            <w:tcBorders>
              <w:top w:val="nil"/>
              <w:left w:val="nil"/>
              <w:bottom w:val="nil"/>
              <w:right w:val="nil"/>
            </w:tcBorders>
            <w:shd w:val="clear" w:color="auto" w:fill="FFFFFF"/>
            <w:tcMar>
              <w:left w:w="80" w:type="dxa"/>
              <w:right w:w="80" w:type="dxa"/>
            </w:tcMar>
            <w:vAlign w:val="bottom"/>
          </w:tcPr>
          <w:p w:rsidR="000821EB" w:rsidRPr="00CB376B" w:rsidRDefault="000821EB" w:rsidP="00CB376B">
            <w:pPr>
              <w:autoSpaceDE w:val="0"/>
              <w:autoSpaceDN w:val="0"/>
              <w:adjustRightInd w:val="0"/>
              <w:spacing w:before="80" w:after="80"/>
              <w:jc w:val="right"/>
              <w:rPr>
                <w:rFonts w:ascii="Calibri" w:hAnsi="Calibri" w:cs="Calibri"/>
                <w:color w:val="000000"/>
                <w:sz w:val="20"/>
                <w:szCs w:val="20"/>
              </w:rPr>
            </w:pPr>
            <w:r w:rsidRPr="00CB376B">
              <w:rPr>
                <w:rFonts w:ascii="Calibri" w:hAnsi="Calibri" w:cs="Calibri"/>
                <w:color w:val="000000"/>
                <w:sz w:val="20"/>
                <w:szCs w:val="20"/>
              </w:rPr>
              <w:t>-1.94</w:t>
            </w:r>
          </w:p>
        </w:tc>
        <w:tc>
          <w:tcPr>
            <w:tcW w:w="900" w:type="dxa"/>
            <w:tcBorders>
              <w:top w:val="nil"/>
              <w:left w:val="nil"/>
              <w:bottom w:val="nil"/>
              <w:right w:val="nil"/>
            </w:tcBorders>
            <w:shd w:val="clear" w:color="auto" w:fill="FFFFFF"/>
            <w:tcMar>
              <w:left w:w="80" w:type="dxa"/>
              <w:right w:w="80" w:type="dxa"/>
            </w:tcMar>
            <w:vAlign w:val="bottom"/>
          </w:tcPr>
          <w:p w:rsidR="000821EB" w:rsidRPr="00CB376B" w:rsidRDefault="000821EB" w:rsidP="00CB376B">
            <w:pPr>
              <w:autoSpaceDE w:val="0"/>
              <w:autoSpaceDN w:val="0"/>
              <w:adjustRightInd w:val="0"/>
              <w:spacing w:before="80" w:after="80"/>
              <w:jc w:val="right"/>
              <w:rPr>
                <w:rFonts w:ascii="Calibri" w:hAnsi="Calibri" w:cs="Calibri"/>
                <w:color w:val="000000"/>
                <w:sz w:val="20"/>
                <w:szCs w:val="20"/>
              </w:rPr>
            </w:pPr>
            <w:r w:rsidRPr="00CB376B">
              <w:rPr>
                <w:rFonts w:ascii="Calibri" w:hAnsi="Calibri" w:cs="Calibri"/>
                <w:color w:val="000000"/>
                <w:sz w:val="20"/>
                <w:szCs w:val="20"/>
              </w:rPr>
              <w:t>1,182</w:t>
            </w:r>
          </w:p>
        </w:tc>
        <w:tc>
          <w:tcPr>
            <w:tcW w:w="180" w:type="dxa"/>
            <w:tcBorders>
              <w:top w:val="nil"/>
              <w:left w:val="nil"/>
              <w:bottom w:val="nil"/>
              <w:right w:val="nil"/>
            </w:tcBorders>
            <w:shd w:val="clear" w:color="auto" w:fill="FFFFFF"/>
          </w:tcPr>
          <w:p w:rsidR="000821EB" w:rsidRPr="00FB27EB" w:rsidRDefault="000821EB" w:rsidP="00725735">
            <w:pPr>
              <w:keepNext/>
              <w:autoSpaceDE w:val="0"/>
              <w:autoSpaceDN w:val="0"/>
              <w:adjustRightInd w:val="0"/>
              <w:spacing w:before="80" w:after="80"/>
              <w:jc w:val="right"/>
              <w:rPr>
                <w:rFonts w:ascii="Calibri" w:hAnsi="Calibri" w:cs="Calibri"/>
                <w:color w:val="000000"/>
                <w:sz w:val="20"/>
                <w:szCs w:val="20"/>
              </w:rPr>
            </w:pPr>
          </w:p>
        </w:tc>
        <w:tc>
          <w:tcPr>
            <w:tcW w:w="990" w:type="dxa"/>
            <w:tcBorders>
              <w:top w:val="nil"/>
              <w:left w:val="nil"/>
              <w:bottom w:val="nil"/>
              <w:right w:val="nil"/>
            </w:tcBorders>
            <w:shd w:val="clear" w:color="auto" w:fill="FFFFFF"/>
            <w:vAlign w:val="bottom"/>
          </w:tcPr>
          <w:p w:rsidR="000821EB" w:rsidRPr="00FB27EB" w:rsidRDefault="000821EB" w:rsidP="00725735">
            <w:pPr>
              <w:keepNext/>
              <w:autoSpaceDE w:val="0"/>
              <w:autoSpaceDN w:val="0"/>
              <w:adjustRightInd w:val="0"/>
              <w:spacing w:before="80" w:after="80"/>
              <w:jc w:val="right"/>
              <w:rPr>
                <w:rFonts w:ascii="Calibri" w:hAnsi="Calibri" w:cs="Calibri"/>
                <w:color w:val="000000"/>
                <w:sz w:val="20"/>
                <w:szCs w:val="20"/>
              </w:rPr>
            </w:pPr>
            <w:r w:rsidRPr="00FB27EB">
              <w:rPr>
                <w:rFonts w:ascii="Calibri" w:hAnsi="Calibri" w:cs="Calibri"/>
                <w:color w:val="000000"/>
                <w:sz w:val="20"/>
                <w:szCs w:val="20"/>
              </w:rPr>
              <w:t>-0.96%</w:t>
            </w:r>
          </w:p>
        </w:tc>
        <w:tc>
          <w:tcPr>
            <w:tcW w:w="1080" w:type="dxa"/>
            <w:tcBorders>
              <w:top w:val="nil"/>
              <w:left w:val="nil"/>
              <w:bottom w:val="nil"/>
              <w:right w:val="nil"/>
            </w:tcBorders>
            <w:shd w:val="clear" w:color="auto" w:fill="FFFFFF"/>
            <w:vAlign w:val="bottom"/>
          </w:tcPr>
          <w:p w:rsidR="000821EB" w:rsidRPr="00FB27EB" w:rsidRDefault="000821EB" w:rsidP="00725735">
            <w:pPr>
              <w:keepNext/>
              <w:autoSpaceDE w:val="0"/>
              <w:autoSpaceDN w:val="0"/>
              <w:adjustRightInd w:val="0"/>
              <w:spacing w:before="80" w:after="80"/>
              <w:jc w:val="right"/>
              <w:rPr>
                <w:rFonts w:ascii="Calibri" w:hAnsi="Calibri" w:cs="Calibri"/>
                <w:color w:val="000000"/>
                <w:sz w:val="20"/>
                <w:szCs w:val="20"/>
              </w:rPr>
            </w:pPr>
            <w:r w:rsidRPr="00FB27EB">
              <w:rPr>
                <w:rFonts w:ascii="Calibri" w:hAnsi="Calibri" w:cs="Calibri"/>
                <w:color w:val="000000"/>
                <w:sz w:val="20"/>
                <w:szCs w:val="20"/>
              </w:rPr>
              <w:t>-2.24</w:t>
            </w:r>
          </w:p>
        </w:tc>
        <w:tc>
          <w:tcPr>
            <w:tcW w:w="810" w:type="dxa"/>
            <w:tcBorders>
              <w:top w:val="nil"/>
              <w:left w:val="nil"/>
              <w:bottom w:val="nil"/>
              <w:right w:val="nil"/>
            </w:tcBorders>
            <w:shd w:val="clear" w:color="auto" w:fill="FFFFFF"/>
            <w:vAlign w:val="bottom"/>
          </w:tcPr>
          <w:p w:rsidR="000821EB" w:rsidRPr="00FB27EB" w:rsidRDefault="000821EB" w:rsidP="00725735">
            <w:pPr>
              <w:keepNext/>
              <w:autoSpaceDE w:val="0"/>
              <w:autoSpaceDN w:val="0"/>
              <w:adjustRightInd w:val="0"/>
              <w:spacing w:before="80" w:after="80"/>
              <w:jc w:val="right"/>
              <w:rPr>
                <w:rFonts w:ascii="Calibri" w:hAnsi="Calibri" w:cs="Calibri"/>
                <w:color w:val="000000"/>
                <w:sz w:val="20"/>
                <w:szCs w:val="20"/>
              </w:rPr>
            </w:pPr>
            <w:r w:rsidRPr="00FB27EB">
              <w:rPr>
                <w:rFonts w:ascii="Calibri" w:hAnsi="Calibri" w:cs="Calibri"/>
                <w:color w:val="000000"/>
                <w:sz w:val="20"/>
                <w:szCs w:val="20"/>
              </w:rPr>
              <w:t>225.6</w:t>
            </w:r>
          </w:p>
        </w:tc>
      </w:tr>
      <w:tr w:rsidR="00FB27EB" w:rsidRPr="00FB27EB" w:rsidTr="000323A3">
        <w:trPr>
          <w:cantSplit/>
        </w:trPr>
        <w:tc>
          <w:tcPr>
            <w:tcW w:w="810" w:type="dxa"/>
            <w:vMerge w:val="restart"/>
            <w:tcBorders>
              <w:top w:val="nil"/>
              <w:left w:val="nil"/>
              <w:bottom w:val="single" w:sz="6" w:space="0" w:color="000000"/>
              <w:right w:val="nil"/>
            </w:tcBorders>
            <w:shd w:val="clear" w:color="auto" w:fill="FFFFFF"/>
            <w:tcMar>
              <w:left w:w="80" w:type="dxa"/>
              <w:right w:w="80" w:type="dxa"/>
            </w:tcMar>
          </w:tcPr>
          <w:p w:rsidR="000821EB" w:rsidRPr="00CB376B" w:rsidRDefault="000821EB" w:rsidP="00CB376B">
            <w:pPr>
              <w:keepNext/>
              <w:autoSpaceDE w:val="0"/>
              <w:autoSpaceDN w:val="0"/>
              <w:adjustRightInd w:val="0"/>
              <w:spacing w:before="80" w:after="80"/>
              <w:rPr>
                <w:rFonts w:ascii="Calibri" w:hAnsi="Calibri" w:cs="Calibri"/>
                <w:b/>
                <w:bCs/>
                <w:color w:val="000000"/>
                <w:sz w:val="20"/>
                <w:szCs w:val="20"/>
              </w:rPr>
            </w:pPr>
            <w:r w:rsidRPr="00CB376B">
              <w:rPr>
                <w:rFonts w:ascii="Calibri" w:hAnsi="Calibri" w:cs="Calibri"/>
                <w:b/>
                <w:bCs/>
                <w:color w:val="000000"/>
                <w:sz w:val="20"/>
                <w:szCs w:val="20"/>
              </w:rPr>
              <w:t>60</w:t>
            </w:r>
          </w:p>
        </w:tc>
        <w:tc>
          <w:tcPr>
            <w:tcW w:w="1530" w:type="dxa"/>
            <w:tcBorders>
              <w:top w:val="nil"/>
              <w:left w:val="nil"/>
              <w:bottom w:val="nil"/>
              <w:right w:val="nil"/>
            </w:tcBorders>
            <w:shd w:val="clear" w:color="auto" w:fill="FFFFFF"/>
            <w:tcMar>
              <w:left w:w="80" w:type="dxa"/>
              <w:right w:w="80" w:type="dxa"/>
            </w:tcMar>
          </w:tcPr>
          <w:p w:rsidR="000821EB" w:rsidRPr="00CB376B" w:rsidRDefault="000821EB" w:rsidP="00CB376B">
            <w:pPr>
              <w:keepNext/>
              <w:autoSpaceDE w:val="0"/>
              <w:autoSpaceDN w:val="0"/>
              <w:adjustRightInd w:val="0"/>
              <w:spacing w:before="80" w:after="80"/>
              <w:rPr>
                <w:rFonts w:ascii="Calibri" w:hAnsi="Calibri" w:cs="Calibri"/>
                <w:b/>
                <w:bCs/>
                <w:color w:val="000000"/>
                <w:sz w:val="20"/>
                <w:szCs w:val="20"/>
              </w:rPr>
            </w:pPr>
            <w:r w:rsidRPr="00CB376B">
              <w:rPr>
                <w:rFonts w:ascii="Calibri" w:hAnsi="Calibri" w:cs="Calibri"/>
                <w:b/>
                <w:bCs/>
                <w:color w:val="000000"/>
                <w:sz w:val="20"/>
                <w:szCs w:val="20"/>
              </w:rPr>
              <w:t>Quote midpoint</w:t>
            </w:r>
          </w:p>
        </w:tc>
        <w:tc>
          <w:tcPr>
            <w:tcW w:w="900" w:type="dxa"/>
            <w:tcBorders>
              <w:top w:val="nil"/>
              <w:left w:val="nil"/>
              <w:bottom w:val="nil"/>
              <w:right w:val="nil"/>
            </w:tcBorders>
            <w:shd w:val="clear" w:color="auto" w:fill="FFFFFF"/>
            <w:tcMar>
              <w:left w:w="80" w:type="dxa"/>
              <w:right w:w="80" w:type="dxa"/>
            </w:tcMar>
          </w:tcPr>
          <w:p w:rsidR="000821EB" w:rsidRPr="00FB27EB" w:rsidRDefault="000821EB" w:rsidP="00725735">
            <w:pPr>
              <w:keepNext/>
              <w:autoSpaceDE w:val="0"/>
              <w:autoSpaceDN w:val="0"/>
              <w:adjustRightInd w:val="0"/>
              <w:spacing w:before="80" w:after="80"/>
              <w:rPr>
                <w:rFonts w:ascii="Calibri" w:hAnsi="Calibri" w:cs="Calibri"/>
                <w:b/>
                <w:bCs/>
                <w:color w:val="000000"/>
                <w:sz w:val="20"/>
                <w:szCs w:val="20"/>
              </w:rPr>
            </w:pPr>
          </w:p>
        </w:tc>
        <w:tc>
          <w:tcPr>
            <w:tcW w:w="1080" w:type="dxa"/>
            <w:tcBorders>
              <w:top w:val="nil"/>
              <w:left w:val="nil"/>
              <w:bottom w:val="nil"/>
              <w:right w:val="nil"/>
            </w:tcBorders>
            <w:shd w:val="clear" w:color="auto" w:fill="FFFFFF"/>
            <w:tcMar>
              <w:left w:w="80" w:type="dxa"/>
              <w:right w:w="80" w:type="dxa"/>
            </w:tcMar>
            <w:vAlign w:val="bottom"/>
          </w:tcPr>
          <w:p w:rsidR="000821EB" w:rsidRPr="00CB376B" w:rsidRDefault="000821EB" w:rsidP="00CB376B">
            <w:pPr>
              <w:keepNext/>
              <w:autoSpaceDE w:val="0"/>
              <w:autoSpaceDN w:val="0"/>
              <w:adjustRightInd w:val="0"/>
              <w:spacing w:before="80" w:after="80"/>
              <w:jc w:val="right"/>
              <w:rPr>
                <w:rFonts w:ascii="Calibri" w:hAnsi="Calibri" w:cs="Calibri"/>
                <w:color w:val="000000"/>
                <w:sz w:val="20"/>
                <w:szCs w:val="20"/>
              </w:rPr>
            </w:pPr>
            <w:r w:rsidRPr="00CB376B">
              <w:rPr>
                <w:rFonts w:ascii="Calibri" w:hAnsi="Calibri" w:cs="Calibri"/>
                <w:color w:val="000000"/>
                <w:sz w:val="20"/>
                <w:szCs w:val="20"/>
              </w:rPr>
              <w:t>-1.60%</w:t>
            </w:r>
          </w:p>
        </w:tc>
        <w:tc>
          <w:tcPr>
            <w:tcW w:w="1080" w:type="dxa"/>
            <w:tcBorders>
              <w:top w:val="nil"/>
              <w:left w:val="nil"/>
              <w:bottom w:val="nil"/>
              <w:right w:val="nil"/>
            </w:tcBorders>
            <w:shd w:val="clear" w:color="auto" w:fill="FFFFFF"/>
            <w:tcMar>
              <w:left w:w="80" w:type="dxa"/>
              <w:right w:w="80" w:type="dxa"/>
            </w:tcMar>
            <w:vAlign w:val="bottom"/>
          </w:tcPr>
          <w:p w:rsidR="000821EB" w:rsidRPr="00CB376B" w:rsidRDefault="000821EB" w:rsidP="00CB376B">
            <w:pPr>
              <w:keepNext/>
              <w:autoSpaceDE w:val="0"/>
              <w:autoSpaceDN w:val="0"/>
              <w:adjustRightInd w:val="0"/>
              <w:spacing w:before="80" w:after="80"/>
              <w:jc w:val="right"/>
              <w:rPr>
                <w:rFonts w:ascii="Calibri" w:hAnsi="Calibri" w:cs="Calibri"/>
                <w:color w:val="000000"/>
                <w:sz w:val="20"/>
                <w:szCs w:val="20"/>
              </w:rPr>
            </w:pPr>
            <w:r w:rsidRPr="00CB376B">
              <w:rPr>
                <w:rFonts w:ascii="Calibri" w:hAnsi="Calibri" w:cs="Calibri"/>
                <w:color w:val="000000"/>
                <w:sz w:val="20"/>
                <w:szCs w:val="20"/>
              </w:rPr>
              <w:t>-2.09</w:t>
            </w:r>
          </w:p>
        </w:tc>
        <w:tc>
          <w:tcPr>
            <w:tcW w:w="900" w:type="dxa"/>
            <w:tcBorders>
              <w:top w:val="nil"/>
              <w:left w:val="nil"/>
              <w:bottom w:val="nil"/>
              <w:right w:val="nil"/>
            </w:tcBorders>
            <w:shd w:val="clear" w:color="auto" w:fill="FFFFFF"/>
            <w:tcMar>
              <w:left w:w="80" w:type="dxa"/>
              <w:right w:w="80" w:type="dxa"/>
            </w:tcMar>
            <w:vAlign w:val="bottom"/>
          </w:tcPr>
          <w:p w:rsidR="000821EB" w:rsidRPr="00CB376B" w:rsidRDefault="000821EB" w:rsidP="00CB376B">
            <w:pPr>
              <w:keepNext/>
              <w:autoSpaceDE w:val="0"/>
              <w:autoSpaceDN w:val="0"/>
              <w:adjustRightInd w:val="0"/>
              <w:spacing w:before="80" w:after="80"/>
              <w:jc w:val="right"/>
              <w:rPr>
                <w:rFonts w:ascii="Calibri" w:hAnsi="Calibri" w:cs="Calibri"/>
                <w:color w:val="000000"/>
                <w:sz w:val="20"/>
                <w:szCs w:val="20"/>
              </w:rPr>
            </w:pPr>
            <w:r w:rsidRPr="00CB376B">
              <w:rPr>
                <w:rFonts w:ascii="Calibri" w:hAnsi="Calibri" w:cs="Calibri"/>
                <w:color w:val="000000"/>
                <w:sz w:val="20"/>
                <w:szCs w:val="20"/>
              </w:rPr>
              <w:t>1,852</w:t>
            </w:r>
          </w:p>
        </w:tc>
        <w:tc>
          <w:tcPr>
            <w:tcW w:w="180" w:type="dxa"/>
            <w:tcBorders>
              <w:top w:val="nil"/>
              <w:left w:val="nil"/>
              <w:bottom w:val="nil"/>
              <w:right w:val="nil"/>
            </w:tcBorders>
            <w:shd w:val="clear" w:color="auto" w:fill="FFFFFF"/>
          </w:tcPr>
          <w:p w:rsidR="000821EB" w:rsidRPr="00FB27EB" w:rsidRDefault="000821EB" w:rsidP="00725735">
            <w:pPr>
              <w:keepNext/>
              <w:autoSpaceDE w:val="0"/>
              <w:autoSpaceDN w:val="0"/>
              <w:adjustRightInd w:val="0"/>
              <w:spacing w:before="80" w:after="80"/>
              <w:jc w:val="right"/>
              <w:rPr>
                <w:rFonts w:ascii="Calibri" w:hAnsi="Calibri" w:cs="Calibri"/>
                <w:color w:val="000000"/>
                <w:sz w:val="20"/>
                <w:szCs w:val="20"/>
              </w:rPr>
            </w:pPr>
          </w:p>
        </w:tc>
        <w:tc>
          <w:tcPr>
            <w:tcW w:w="990" w:type="dxa"/>
            <w:tcBorders>
              <w:top w:val="nil"/>
              <w:left w:val="nil"/>
              <w:bottom w:val="nil"/>
              <w:right w:val="nil"/>
            </w:tcBorders>
            <w:shd w:val="clear" w:color="auto" w:fill="FFFFFF"/>
            <w:vAlign w:val="bottom"/>
          </w:tcPr>
          <w:p w:rsidR="000821EB" w:rsidRPr="00FB27EB" w:rsidRDefault="000821EB" w:rsidP="00725735">
            <w:pPr>
              <w:keepNext/>
              <w:autoSpaceDE w:val="0"/>
              <w:autoSpaceDN w:val="0"/>
              <w:adjustRightInd w:val="0"/>
              <w:spacing w:before="80" w:after="80"/>
              <w:jc w:val="right"/>
              <w:rPr>
                <w:rFonts w:ascii="Calibri" w:hAnsi="Calibri" w:cs="Calibri"/>
                <w:color w:val="000000"/>
                <w:sz w:val="20"/>
                <w:szCs w:val="20"/>
              </w:rPr>
            </w:pPr>
            <w:r w:rsidRPr="00FB27EB">
              <w:rPr>
                <w:rFonts w:ascii="Calibri" w:hAnsi="Calibri" w:cs="Calibri"/>
                <w:color w:val="000000"/>
                <w:sz w:val="20"/>
                <w:szCs w:val="20"/>
              </w:rPr>
              <w:t>-2.84%</w:t>
            </w:r>
          </w:p>
        </w:tc>
        <w:tc>
          <w:tcPr>
            <w:tcW w:w="1080" w:type="dxa"/>
            <w:tcBorders>
              <w:top w:val="nil"/>
              <w:left w:val="nil"/>
              <w:bottom w:val="nil"/>
              <w:right w:val="nil"/>
            </w:tcBorders>
            <w:shd w:val="clear" w:color="auto" w:fill="FFFFFF"/>
            <w:vAlign w:val="bottom"/>
          </w:tcPr>
          <w:p w:rsidR="000821EB" w:rsidRPr="00FB27EB" w:rsidRDefault="000821EB" w:rsidP="00725735">
            <w:pPr>
              <w:keepNext/>
              <w:autoSpaceDE w:val="0"/>
              <w:autoSpaceDN w:val="0"/>
              <w:adjustRightInd w:val="0"/>
              <w:spacing w:before="80" w:after="80"/>
              <w:jc w:val="right"/>
              <w:rPr>
                <w:rFonts w:ascii="Calibri" w:hAnsi="Calibri" w:cs="Calibri"/>
                <w:color w:val="000000"/>
                <w:sz w:val="20"/>
                <w:szCs w:val="20"/>
              </w:rPr>
            </w:pPr>
            <w:r w:rsidRPr="00FB27EB">
              <w:rPr>
                <w:rFonts w:ascii="Calibri" w:hAnsi="Calibri" w:cs="Calibri"/>
                <w:color w:val="000000"/>
                <w:sz w:val="20"/>
                <w:szCs w:val="20"/>
              </w:rPr>
              <w:t>-5.35</w:t>
            </w:r>
          </w:p>
        </w:tc>
        <w:tc>
          <w:tcPr>
            <w:tcW w:w="810" w:type="dxa"/>
            <w:tcBorders>
              <w:top w:val="nil"/>
              <w:left w:val="nil"/>
              <w:bottom w:val="nil"/>
              <w:right w:val="nil"/>
            </w:tcBorders>
            <w:shd w:val="clear" w:color="auto" w:fill="FFFFFF"/>
            <w:vAlign w:val="bottom"/>
          </w:tcPr>
          <w:p w:rsidR="000821EB" w:rsidRPr="00FB27EB" w:rsidRDefault="000821EB" w:rsidP="00725735">
            <w:pPr>
              <w:keepNext/>
              <w:autoSpaceDE w:val="0"/>
              <w:autoSpaceDN w:val="0"/>
              <w:adjustRightInd w:val="0"/>
              <w:spacing w:before="80" w:after="80"/>
              <w:jc w:val="right"/>
              <w:rPr>
                <w:rFonts w:ascii="Calibri" w:hAnsi="Calibri" w:cs="Calibri"/>
                <w:color w:val="000000"/>
                <w:sz w:val="20"/>
                <w:szCs w:val="20"/>
              </w:rPr>
            </w:pPr>
            <w:r w:rsidRPr="00FB27EB">
              <w:rPr>
                <w:rFonts w:ascii="Calibri" w:hAnsi="Calibri" w:cs="Calibri"/>
                <w:color w:val="000000"/>
                <w:sz w:val="20"/>
                <w:szCs w:val="20"/>
              </w:rPr>
              <w:t>451.2</w:t>
            </w:r>
          </w:p>
        </w:tc>
      </w:tr>
      <w:tr w:rsidR="00FB27EB" w:rsidRPr="00FB27EB" w:rsidTr="000323A3">
        <w:trPr>
          <w:cantSplit/>
        </w:trPr>
        <w:tc>
          <w:tcPr>
            <w:tcW w:w="810" w:type="dxa"/>
            <w:vMerge/>
            <w:tcBorders>
              <w:top w:val="nil"/>
              <w:left w:val="nil"/>
              <w:bottom w:val="single" w:sz="6" w:space="0" w:color="000000"/>
              <w:right w:val="nil"/>
            </w:tcBorders>
            <w:shd w:val="clear" w:color="auto" w:fill="FFFFFF"/>
            <w:tcMar>
              <w:left w:w="80" w:type="dxa"/>
              <w:right w:w="80" w:type="dxa"/>
            </w:tcMar>
          </w:tcPr>
          <w:p w:rsidR="000821EB" w:rsidRPr="00CB376B" w:rsidRDefault="000821EB" w:rsidP="00CB376B">
            <w:pPr>
              <w:keepNext/>
              <w:autoSpaceDE w:val="0"/>
              <w:autoSpaceDN w:val="0"/>
              <w:adjustRightInd w:val="0"/>
              <w:rPr>
                <w:rFonts w:ascii="Times New Roman" w:hAnsi="Times New Roman"/>
                <w:sz w:val="20"/>
                <w:szCs w:val="20"/>
              </w:rPr>
            </w:pPr>
          </w:p>
        </w:tc>
        <w:tc>
          <w:tcPr>
            <w:tcW w:w="1530" w:type="dxa"/>
            <w:tcBorders>
              <w:top w:val="nil"/>
              <w:left w:val="nil"/>
              <w:bottom w:val="nil"/>
              <w:right w:val="nil"/>
            </w:tcBorders>
            <w:shd w:val="clear" w:color="auto" w:fill="FFFFFF"/>
            <w:tcMar>
              <w:left w:w="80" w:type="dxa"/>
              <w:right w:w="80" w:type="dxa"/>
            </w:tcMar>
          </w:tcPr>
          <w:p w:rsidR="000821EB" w:rsidRPr="00CB376B" w:rsidRDefault="000821EB" w:rsidP="00CB376B">
            <w:pPr>
              <w:keepNext/>
              <w:autoSpaceDE w:val="0"/>
              <w:autoSpaceDN w:val="0"/>
              <w:adjustRightInd w:val="0"/>
              <w:spacing w:before="80" w:after="80"/>
              <w:rPr>
                <w:rFonts w:ascii="Calibri" w:hAnsi="Calibri" w:cs="Calibri"/>
                <w:b/>
                <w:bCs/>
                <w:color w:val="000000"/>
                <w:sz w:val="20"/>
                <w:szCs w:val="20"/>
              </w:rPr>
            </w:pPr>
            <w:r w:rsidRPr="00CB376B">
              <w:rPr>
                <w:rFonts w:ascii="Calibri" w:hAnsi="Calibri" w:cs="Calibri"/>
                <w:b/>
                <w:bCs/>
                <w:color w:val="000000"/>
                <w:sz w:val="20"/>
                <w:szCs w:val="20"/>
              </w:rPr>
              <w:t>Unadjusted</w:t>
            </w:r>
          </w:p>
        </w:tc>
        <w:tc>
          <w:tcPr>
            <w:tcW w:w="900" w:type="dxa"/>
            <w:tcBorders>
              <w:top w:val="nil"/>
              <w:left w:val="nil"/>
              <w:bottom w:val="nil"/>
              <w:right w:val="nil"/>
            </w:tcBorders>
            <w:shd w:val="clear" w:color="auto" w:fill="FFFFFF"/>
            <w:tcMar>
              <w:left w:w="80" w:type="dxa"/>
              <w:right w:w="80" w:type="dxa"/>
            </w:tcMar>
          </w:tcPr>
          <w:p w:rsidR="000821EB" w:rsidRPr="00FB27EB" w:rsidRDefault="000821EB" w:rsidP="00725735">
            <w:pPr>
              <w:keepNext/>
              <w:autoSpaceDE w:val="0"/>
              <w:autoSpaceDN w:val="0"/>
              <w:adjustRightInd w:val="0"/>
              <w:spacing w:before="80" w:after="80"/>
              <w:rPr>
                <w:rFonts w:ascii="Calibri" w:hAnsi="Calibri" w:cs="Calibri"/>
                <w:b/>
                <w:bCs/>
                <w:color w:val="000000"/>
                <w:sz w:val="20"/>
                <w:szCs w:val="20"/>
              </w:rPr>
            </w:pPr>
            <w:r w:rsidRPr="00FB27EB">
              <w:rPr>
                <w:rFonts w:ascii="Calibri" w:hAnsi="Calibri" w:cs="Calibri"/>
                <w:b/>
                <w:bCs/>
                <w:color w:val="000000"/>
                <w:sz w:val="20"/>
                <w:szCs w:val="20"/>
              </w:rPr>
              <w:t>0¢</w:t>
            </w:r>
          </w:p>
        </w:tc>
        <w:tc>
          <w:tcPr>
            <w:tcW w:w="1080" w:type="dxa"/>
            <w:tcBorders>
              <w:top w:val="nil"/>
              <w:left w:val="nil"/>
              <w:bottom w:val="nil"/>
              <w:right w:val="nil"/>
            </w:tcBorders>
            <w:shd w:val="clear" w:color="auto" w:fill="FFFFFF"/>
            <w:tcMar>
              <w:left w:w="80" w:type="dxa"/>
              <w:right w:w="80" w:type="dxa"/>
            </w:tcMar>
            <w:vAlign w:val="bottom"/>
          </w:tcPr>
          <w:p w:rsidR="000821EB" w:rsidRPr="00CB376B" w:rsidRDefault="000821EB" w:rsidP="00CB376B">
            <w:pPr>
              <w:keepNext/>
              <w:autoSpaceDE w:val="0"/>
              <w:autoSpaceDN w:val="0"/>
              <w:adjustRightInd w:val="0"/>
              <w:spacing w:before="80" w:after="80"/>
              <w:jc w:val="right"/>
              <w:rPr>
                <w:rFonts w:ascii="Calibri" w:hAnsi="Calibri" w:cs="Calibri"/>
                <w:color w:val="000000"/>
                <w:sz w:val="20"/>
                <w:szCs w:val="20"/>
              </w:rPr>
            </w:pPr>
            <w:r w:rsidRPr="00CB376B">
              <w:rPr>
                <w:rFonts w:ascii="Calibri" w:hAnsi="Calibri" w:cs="Calibri"/>
                <w:color w:val="000000"/>
                <w:sz w:val="20"/>
                <w:szCs w:val="20"/>
              </w:rPr>
              <w:t>0.39%</w:t>
            </w:r>
          </w:p>
        </w:tc>
        <w:tc>
          <w:tcPr>
            <w:tcW w:w="1080" w:type="dxa"/>
            <w:tcBorders>
              <w:top w:val="nil"/>
              <w:left w:val="nil"/>
              <w:bottom w:val="nil"/>
              <w:right w:val="nil"/>
            </w:tcBorders>
            <w:shd w:val="clear" w:color="auto" w:fill="FFFFFF"/>
            <w:tcMar>
              <w:left w:w="80" w:type="dxa"/>
              <w:right w:w="80" w:type="dxa"/>
            </w:tcMar>
            <w:vAlign w:val="bottom"/>
          </w:tcPr>
          <w:p w:rsidR="000821EB" w:rsidRPr="00CB376B" w:rsidRDefault="000821EB" w:rsidP="00CB376B">
            <w:pPr>
              <w:keepNext/>
              <w:autoSpaceDE w:val="0"/>
              <w:autoSpaceDN w:val="0"/>
              <w:adjustRightInd w:val="0"/>
              <w:spacing w:before="80" w:after="80"/>
              <w:jc w:val="right"/>
              <w:rPr>
                <w:rFonts w:ascii="Calibri" w:hAnsi="Calibri" w:cs="Calibri"/>
                <w:color w:val="000000"/>
                <w:sz w:val="20"/>
                <w:szCs w:val="20"/>
              </w:rPr>
            </w:pPr>
            <w:r w:rsidRPr="00CB376B">
              <w:rPr>
                <w:rFonts w:ascii="Calibri" w:hAnsi="Calibri" w:cs="Calibri"/>
                <w:color w:val="000000"/>
                <w:sz w:val="20"/>
                <w:szCs w:val="20"/>
              </w:rPr>
              <w:t>0.45</w:t>
            </w:r>
          </w:p>
        </w:tc>
        <w:tc>
          <w:tcPr>
            <w:tcW w:w="900" w:type="dxa"/>
            <w:tcBorders>
              <w:top w:val="nil"/>
              <w:left w:val="nil"/>
              <w:bottom w:val="nil"/>
              <w:right w:val="nil"/>
            </w:tcBorders>
            <w:shd w:val="clear" w:color="auto" w:fill="FFFFFF"/>
            <w:tcMar>
              <w:left w:w="80" w:type="dxa"/>
              <w:right w:w="80" w:type="dxa"/>
            </w:tcMar>
            <w:vAlign w:val="bottom"/>
          </w:tcPr>
          <w:p w:rsidR="000821EB" w:rsidRPr="00CB376B" w:rsidRDefault="000821EB" w:rsidP="00CB376B">
            <w:pPr>
              <w:keepNext/>
              <w:autoSpaceDE w:val="0"/>
              <w:autoSpaceDN w:val="0"/>
              <w:adjustRightInd w:val="0"/>
              <w:spacing w:before="80" w:after="80"/>
              <w:jc w:val="right"/>
              <w:rPr>
                <w:rFonts w:ascii="Calibri" w:hAnsi="Calibri" w:cs="Calibri"/>
                <w:color w:val="000000"/>
                <w:sz w:val="20"/>
                <w:szCs w:val="20"/>
              </w:rPr>
            </w:pPr>
            <w:r w:rsidRPr="00CB376B">
              <w:rPr>
                <w:rFonts w:ascii="Calibri" w:hAnsi="Calibri" w:cs="Calibri"/>
                <w:color w:val="000000"/>
                <w:sz w:val="20"/>
                <w:szCs w:val="20"/>
              </w:rPr>
              <w:t>1,809</w:t>
            </w:r>
          </w:p>
        </w:tc>
        <w:tc>
          <w:tcPr>
            <w:tcW w:w="180" w:type="dxa"/>
            <w:tcBorders>
              <w:top w:val="nil"/>
              <w:left w:val="nil"/>
              <w:bottom w:val="nil"/>
              <w:right w:val="nil"/>
            </w:tcBorders>
            <w:shd w:val="clear" w:color="auto" w:fill="FFFFFF"/>
          </w:tcPr>
          <w:p w:rsidR="000821EB" w:rsidRPr="00FB27EB" w:rsidRDefault="000821EB" w:rsidP="00725735">
            <w:pPr>
              <w:keepNext/>
              <w:autoSpaceDE w:val="0"/>
              <w:autoSpaceDN w:val="0"/>
              <w:adjustRightInd w:val="0"/>
              <w:spacing w:before="80" w:after="80"/>
              <w:jc w:val="right"/>
              <w:rPr>
                <w:rFonts w:ascii="Calibri" w:hAnsi="Calibri" w:cs="Calibri"/>
                <w:color w:val="000000"/>
                <w:sz w:val="20"/>
                <w:szCs w:val="20"/>
              </w:rPr>
            </w:pPr>
          </w:p>
        </w:tc>
        <w:tc>
          <w:tcPr>
            <w:tcW w:w="990" w:type="dxa"/>
            <w:tcBorders>
              <w:top w:val="nil"/>
              <w:left w:val="nil"/>
              <w:bottom w:val="nil"/>
              <w:right w:val="nil"/>
            </w:tcBorders>
            <w:shd w:val="clear" w:color="auto" w:fill="FFFFFF"/>
            <w:vAlign w:val="bottom"/>
          </w:tcPr>
          <w:p w:rsidR="000821EB" w:rsidRPr="00FB27EB" w:rsidRDefault="000821EB" w:rsidP="00725735">
            <w:pPr>
              <w:keepNext/>
              <w:autoSpaceDE w:val="0"/>
              <w:autoSpaceDN w:val="0"/>
              <w:adjustRightInd w:val="0"/>
              <w:spacing w:before="80" w:after="80"/>
              <w:jc w:val="right"/>
              <w:rPr>
                <w:rFonts w:ascii="Calibri" w:hAnsi="Calibri" w:cs="Calibri"/>
                <w:color w:val="000000"/>
                <w:sz w:val="20"/>
                <w:szCs w:val="20"/>
              </w:rPr>
            </w:pPr>
            <w:r w:rsidRPr="00FB27EB">
              <w:rPr>
                <w:rFonts w:ascii="Calibri" w:hAnsi="Calibri" w:cs="Calibri"/>
                <w:color w:val="000000"/>
                <w:sz w:val="20"/>
                <w:szCs w:val="20"/>
              </w:rPr>
              <w:t>-0.40%</w:t>
            </w:r>
          </w:p>
        </w:tc>
        <w:tc>
          <w:tcPr>
            <w:tcW w:w="1080" w:type="dxa"/>
            <w:tcBorders>
              <w:top w:val="nil"/>
              <w:left w:val="nil"/>
              <w:bottom w:val="nil"/>
              <w:right w:val="nil"/>
            </w:tcBorders>
            <w:shd w:val="clear" w:color="auto" w:fill="FFFFFF"/>
            <w:vAlign w:val="bottom"/>
          </w:tcPr>
          <w:p w:rsidR="000821EB" w:rsidRPr="00FB27EB" w:rsidRDefault="000821EB" w:rsidP="00725735">
            <w:pPr>
              <w:keepNext/>
              <w:autoSpaceDE w:val="0"/>
              <w:autoSpaceDN w:val="0"/>
              <w:adjustRightInd w:val="0"/>
              <w:spacing w:before="80" w:after="80"/>
              <w:jc w:val="right"/>
              <w:rPr>
                <w:rFonts w:ascii="Calibri" w:hAnsi="Calibri" w:cs="Calibri"/>
                <w:color w:val="000000"/>
                <w:sz w:val="20"/>
                <w:szCs w:val="20"/>
              </w:rPr>
            </w:pPr>
            <w:r w:rsidRPr="00FB27EB">
              <w:rPr>
                <w:rFonts w:ascii="Calibri" w:hAnsi="Calibri" w:cs="Calibri"/>
                <w:color w:val="000000"/>
                <w:sz w:val="20"/>
                <w:szCs w:val="20"/>
              </w:rPr>
              <w:t>-0.69</w:t>
            </w:r>
          </w:p>
        </w:tc>
        <w:tc>
          <w:tcPr>
            <w:tcW w:w="810" w:type="dxa"/>
            <w:tcBorders>
              <w:top w:val="nil"/>
              <w:left w:val="nil"/>
              <w:bottom w:val="nil"/>
              <w:right w:val="nil"/>
            </w:tcBorders>
            <w:shd w:val="clear" w:color="auto" w:fill="FFFFFF"/>
            <w:vAlign w:val="bottom"/>
          </w:tcPr>
          <w:p w:rsidR="000821EB" w:rsidRPr="00FB27EB" w:rsidRDefault="000821EB" w:rsidP="00725735">
            <w:pPr>
              <w:keepNext/>
              <w:autoSpaceDE w:val="0"/>
              <w:autoSpaceDN w:val="0"/>
              <w:adjustRightInd w:val="0"/>
              <w:spacing w:before="80" w:after="80"/>
              <w:jc w:val="right"/>
              <w:rPr>
                <w:rFonts w:ascii="Calibri" w:hAnsi="Calibri" w:cs="Calibri"/>
                <w:color w:val="000000"/>
                <w:sz w:val="20"/>
                <w:szCs w:val="20"/>
              </w:rPr>
            </w:pPr>
            <w:r w:rsidRPr="00FB27EB">
              <w:rPr>
                <w:rFonts w:ascii="Calibri" w:hAnsi="Calibri" w:cs="Calibri"/>
                <w:color w:val="000000"/>
                <w:sz w:val="20"/>
                <w:szCs w:val="20"/>
              </w:rPr>
              <w:t>418.3</w:t>
            </w:r>
          </w:p>
        </w:tc>
      </w:tr>
      <w:tr w:rsidR="00FB27EB" w:rsidRPr="00FB27EB" w:rsidTr="000323A3">
        <w:trPr>
          <w:cantSplit/>
        </w:trPr>
        <w:tc>
          <w:tcPr>
            <w:tcW w:w="810" w:type="dxa"/>
            <w:vMerge/>
            <w:tcBorders>
              <w:top w:val="nil"/>
              <w:left w:val="nil"/>
              <w:bottom w:val="single" w:sz="6" w:space="0" w:color="000000"/>
              <w:right w:val="nil"/>
            </w:tcBorders>
            <w:shd w:val="clear" w:color="auto" w:fill="FFFFFF"/>
            <w:tcMar>
              <w:left w:w="80" w:type="dxa"/>
              <w:right w:w="80" w:type="dxa"/>
            </w:tcMar>
          </w:tcPr>
          <w:p w:rsidR="000821EB" w:rsidRPr="00CB376B" w:rsidRDefault="000821EB" w:rsidP="00CB376B">
            <w:pPr>
              <w:autoSpaceDE w:val="0"/>
              <w:autoSpaceDN w:val="0"/>
              <w:adjustRightInd w:val="0"/>
              <w:rPr>
                <w:rFonts w:ascii="Times New Roman" w:hAnsi="Times New Roman"/>
                <w:sz w:val="20"/>
                <w:szCs w:val="20"/>
              </w:rPr>
            </w:pPr>
          </w:p>
        </w:tc>
        <w:tc>
          <w:tcPr>
            <w:tcW w:w="1530" w:type="dxa"/>
            <w:tcBorders>
              <w:top w:val="nil"/>
              <w:left w:val="nil"/>
              <w:bottom w:val="single" w:sz="6" w:space="0" w:color="000000"/>
              <w:right w:val="nil"/>
            </w:tcBorders>
            <w:shd w:val="clear" w:color="auto" w:fill="FFFFFF"/>
            <w:tcMar>
              <w:left w:w="80" w:type="dxa"/>
              <w:right w:w="80" w:type="dxa"/>
            </w:tcMar>
          </w:tcPr>
          <w:p w:rsidR="000821EB" w:rsidRPr="00CB376B" w:rsidRDefault="000821EB" w:rsidP="00CB376B">
            <w:pPr>
              <w:autoSpaceDE w:val="0"/>
              <w:autoSpaceDN w:val="0"/>
              <w:adjustRightInd w:val="0"/>
              <w:spacing w:before="80" w:after="80"/>
              <w:rPr>
                <w:rFonts w:ascii="Calibri" w:hAnsi="Calibri" w:cs="Calibri"/>
                <w:b/>
                <w:bCs/>
                <w:color w:val="000000"/>
                <w:sz w:val="20"/>
                <w:szCs w:val="20"/>
              </w:rPr>
            </w:pPr>
            <w:r w:rsidRPr="00CB376B">
              <w:rPr>
                <w:rFonts w:ascii="Calibri" w:hAnsi="Calibri" w:cs="Calibri"/>
                <w:b/>
                <w:bCs/>
                <w:color w:val="000000"/>
                <w:sz w:val="20"/>
                <w:szCs w:val="20"/>
              </w:rPr>
              <w:t>Adjusted</w:t>
            </w:r>
          </w:p>
        </w:tc>
        <w:tc>
          <w:tcPr>
            <w:tcW w:w="900" w:type="dxa"/>
            <w:tcBorders>
              <w:top w:val="nil"/>
              <w:left w:val="nil"/>
              <w:bottom w:val="single" w:sz="6" w:space="0" w:color="000000"/>
              <w:right w:val="nil"/>
            </w:tcBorders>
            <w:shd w:val="clear" w:color="auto" w:fill="FFFFFF"/>
            <w:tcMar>
              <w:left w:w="80" w:type="dxa"/>
              <w:right w:w="80" w:type="dxa"/>
            </w:tcMar>
          </w:tcPr>
          <w:p w:rsidR="000821EB" w:rsidRPr="00FB27EB" w:rsidRDefault="000821EB" w:rsidP="00725735">
            <w:pPr>
              <w:autoSpaceDE w:val="0"/>
              <w:autoSpaceDN w:val="0"/>
              <w:adjustRightInd w:val="0"/>
              <w:spacing w:before="80" w:after="80"/>
              <w:rPr>
                <w:rFonts w:ascii="Calibri" w:hAnsi="Calibri" w:cs="Calibri"/>
                <w:b/>
                <w:bCs/>
                <w:color w:val="000000"/>
                <w:sz w:val="20"/>
                <w:szCs w:val="20"/>
              </w:rPr>
            </w:pPr>
            <w:r w:rsidRPr="00FB27EB">
              <w:rPr>
                <w:rFonts w:ascii="Calibri" w:hAnsi="Calibri" w:cs="Calibri"/>
                <w:b/>
                <w:bCs/>
                <w:color w:val="000000"/>
                <w:sz w:val="20"/>
                <w:szCs w:val="20"/>
              </w:rPr>
              <w:t>0.275¢</w:t>
            </w:r>
          </w:p>
        </w:tc>
        <w:tc>
          <w:tcPr>
            <w:tcW w:w="1080" w:type="dxa"/>
            <w:tcBorders>
              <w:top w:val="nil"/>
              <w:left w:val="nil"/>
              <w:bottom w:val="single" w:sz="6" w:space="0" w:color="000000"/>
              <w:right w:val="nil"/>
            </w:tcBorders>
            <w:shd w:val="clear" w:color="auto" w:fill="FFFFFF"/>
            <w:tcMar>
              <w:left w:w="80" w:type="dxa"/>
              <w:right w:w="80" w:type="dxa"/>
            </w:tcMar>
            <w:vAlign w:val="bottom"/>
          </w:tcPr>
          <w:p w:rsidR="000821EB" w:rsidRPr="00CB376B" w:rsidRDefault="000821EB" w:rsidP="00CB376B">
            <w:pPr>
              <w:autoSpaceDE w:val="0"/>
              <w:autoSpaceDN w:val="0"/>
              <w:adjustRightInd w:val="0"/>
              <w:spacing w:before="80" w:after="80"/>
              <w:jc w:val="right"/>
              <w:rPr>
                <w:rFonts w:ascii="Calibri" w:hAnsi="Calibri" w:cs="Calibri"/>
                <w:color w:val="000000"/>
                <w:sz w:val="20"/>
                <w:szCs w:val="20"/>
              </w:rPr>
            </w:pPr>
            <w:r w:rsidRPr="00CB376B">
              <w:rPr>
                <w:rFonts w:ascii="Calibri" w:hAnsi="Calibri" w:cs="Calibri"/>
                <w:color w:val="000000"/>
                <w:sz w:val="20"/>
                <w:szCs w:val="20"/>
              </w:rPr>
              <w:t>-0.34%</w:t>
            </w:r>
          </w:p>
        </w:tc>
        <w:tc>
          <w:tcPr>
            <w:tcW w:w="1080" w:type="dxa"/>
            <w:tcBorders>
              <w:top w:val="nil"/>
              <w:left w:val="nil"/>
              <w:bottom w:val="single" w:sz="6" w:space="0" w:color="000000"/>
              <w:right w:val="nil"/>
            </w:tcBorders>
            <w:shd w:val="clear" w:color="auto" w:fill="FFFFFF"/>
            <w:tcMar>
              <w:left w:w="80" w:type="dxa"/>
              <w:right w:w="80" w:type="dxa"/>
            </w:tcMar>
            <w:vAlign w:val="bottom"/>
          </w:tcPr>
          <w:p w:rsidR="000821EB" w:rsidRPr="00CB376B" w:rsidRDefault="000821EB" w:rsidP="00CB376B">
            <w:pPr>
              <w:autoSpaceDE w:val="0"/>
              <w:autoSpaceDN w:val="0"/>
              <w:adjustRightInd w:val="0"/>
              <w:spacing w:before="80" w:after="80"/>
              <w:jc w:val="right"/>
              <w:rPr>
                <w:rFonts w:ascii="Calibri" w:hAnsi="Calibri" w:cs="Calibri"/>
                <w:color w:val="000000"/>
                <w:sz w:val="20"/>
                <w:szCs w:val="20"/>
              </w:rPr>
            </w:pPr>
            <w:r w:rsidRPr="00CB376B">
              <w:rPr>
                <w:rFonts w:ascii="Calibri" w:hAnsi="Calibri" w:cs="Calibri"/>
                <w:color w:val="000000"/>
                <w:sz w:val="20"/>
                <w:szCs w:val="20"/>
              </w:rPr>
              <w:t>-0.39</w:t>
            </w:r>
          </w:p>
        </w:tc>
        <w:tc>
          <w:tcPr>
            <w:tcW w:w="900" w:type="dxa"/>
            <w:tcBorders>
              <w:top w:val="nil"/>
              <w:left w:val="nil"/>
              <w:bottom w:val="single" w:sz="6" w:space="0" w:color="000000"/>
              <w:right w:val="nil"/>
            </w:tcBorders>
            <w:shd w:val="clear" w:color="auto" w:fill="FFFFFF"/>
            <w:tcMar>
              <w:left w:w="80" w:type="dxa"/>
              <w:right w:w="80" w:type="dxa"/>
            </w:tcMar>
            <w:vAlign w:val="bottom"/>
          </w:tcPr>
          <w:p w:rsidR="000821EB" w:rsidRPr="00CB376B" w:rsidRDefault="000821EB" w:rsidP="00CB376B">
            <w:pPr>
              <w:autoSpaceDE w:val="0"/>
              <w:autoSpaceDN w:val="0"/>
              <w:adjustRightInd w:val="0"/>
              <w:spacing w:before="80" w:after="80"/>
              <w:jc w:val="right"/>
              <w:rPr>
                <w:rFonts w:ascii="Calibri" w:hAnsi="Calibri" w:cs="Calibri"/>
                <w:color w:val="000000"/>
                <w:sz w:val="20"/>
                <w:szCs w:val="20"/>
              </w:rPr>
            </w:pPr>
            <w:r w:rsidRPr="00CB376B">
              <w:rPr>
                <w:rFonts w:ascii="Calibri" w:hAnsi="Calibri" w:cs="Calibri"/>
                <w:color w:val="000000"/>
                <w:sz w:val="20"/>
                <w:szCs w:val="20"/>
              </w:rPr>
              <w:t>1,860</w:t>
            </w:r>
          </w:p>
        </w:tc>
        <w:tc>
          <w:tcPr>
            <w:tcW w:w="180" w:type="dxa"/>
            <w:tcBorders>
              <w:top w:val="nil"/>
              <w:left w:val="nil"/>
              <w:bottom w:val="single" w:sz="6" w:space="0" w:color="000000"/>
              <w:right w:val="nil"/>
            </w:tcBorders>
            <w:shd w:val="clear" w:color="auto" w:fill="FFFFFF"/>
          </w:tcPr>
          <w:p w:rsidR="000821EB" w:rsidRPr="00FB27EB" w:rsidRDefault="000821EB" w:rsidP="00725735">
            <w:pPr>
              <w:keepNext/>
              <w:autoSpaceDE w:val="0"/>
              <w:autoSpaceDN w:val="0"/>
              <w:adjustRightInd w:val="0"/>
              <w:spacing w:before="80" w:after="80"/>
              <w:jc w:val="right"/>
              <w:rPr>
                <w:rFonts w:ascii="Calibri" w:hAnsi="Calibri" w:cs="Calibri"/>
                <w:color w:val="000000"/>
                <w:sz w:val="20"/>
                <w:szCs w:val="20"/>
              </w:rPr>
            </w:pPr>
          </w:p>
        </w:tc>
        <w:tc>
          <w:tcPr>
            <w:tcW w:w="990" w:type="dxa"/>
            <w:tcBorders>
              <w:top w:val="nil"/>
              <w:left w:val="nil"/>
              <w:bottom w:val="single" w:sz="6" w:space="0" w:color="000000"/>
              <w:right w:val="nil"/>
            </w:tcBorders>
            <w:shd w:val="clear" w:color="auto" w:fill="FFFFFF"/>
            <w:vAlign w:val="bottom"/>
          </w:tcPr>
          <w:p w:rsidR="000821EB" w:rsidRPr="00FB27EB" w:rsidRDefault="000821EB" w:rsidP="00725735">
            <w:pPr>
              <w:keepNext/>
              <w:autoSpaceDE w:val="0"/>
              <w:autoSpaceDN w:val="0"/>
              <w:adjustRightInd w:val="0"/>
              <w:spacing w:before="80" w:after="80"/>
              <w:jc w:val="right"/>
              <w:rPr>
                <w:rFonts w:ascii="Calibri" w:hAnsi="Calibri" w:cs="Calibri"/>
                <w:color w:val="000000"/>
                <w:sz w:val="20"/>
                <w:szCs w:val="20"/>
              </w:rPr>
            </w:pPr>
            <w:r w:rsidRPr="00FB27EB">
              <w:rPr>
                <w:rFonts w:ascii="Calibri" w:hAnsi="Calibri" w:cs="Calibri"/>
                <w:color w:val="000000"/>
                <w:sz w:val="20"/>
                <w:szCs w:val="20"/>
              </w:rPr>
              <w:t>-0.99%</w:t>
            </w:r>
          </w:p>
        </w:tc>
        <w:tc>
          <w:tcPr>
            <w:tcW w:w="1080" w:type="dxa"/>
            <w:tcBorders>
              <w:top w:val="nil"/>
              <w:left w:val="nil"/>
              <w:bottom w:val="single" w:sz="6" w:space="0" w:color="000000"/>
              <w:right w:val="nil"/>
            </w:tcBorders>
            <w:shd w:val="clear" w:color="auto" w:fill="FFFFFF"/>
            <w:vAlign w:val="bottom"/>
          </w:tcPr>
          <w:p w:rsidR="000821EB" w:rsidRPr="00FB27EB" w:rsidRDefault="000821EB" w:rsidP="00725735">
            <w:pPr>
              <w:keepNext/>
              <w:autoSpaceDE w:val="0"/>
              <w:autoSpaceDN w:val="0"/>
              <w:adjustRightInd w:val="0"/>
              <w:spacing w:before="80" w:after="80"/>
              <w:jc w:val="right"/>
              <w:rPr>
                <w:rFonts w:ascii="Calibri" w:hAnsi="Calibri" w:cs="Calibri"/>
                <w:color w:val="000000"/>
                <w:sz w:val="20"/>
                <w:szCs w:val="20"/>
              </w:rPr>
            </w:pPr>
            <w:r w:rsidRPr="00FB27EB">
              <w:rPr>
                <w:rFonts w:ascii="Calibri" w:hAnsi="Calibri" w:cs="Calibri"/>
                <w:color w:val="000000"/>
                <w:sz w:val="20"/>
                <w:szCs w:val="20"/>
              </w:rPr>
              <w:t>-1.74</w:t>
            </w:r>
          </w:p>
        </w:tc>
        <w:tc>
          <w:tcPr>
            <w:tcW w:w="810" w:type="dxa"/>
            <w:tcBorders>
              <w:top w:val="nil"/>
              <w:left w:val="nil"/>
              <w:bottom w:val="single" w:sz="6" w:space="0" w:color="000000"/>
              <w:right w:val="nil"/>
            </w:tcBorders>
            <w:shd w:val="clear" w:color="auto" w:fill="FFFFFF"/>
            <w:vAlign w:val="bottom"/>
          </w:tcPr>
          <w:p w:rsidR="000821EB" w:rsidRPr="00FB27EB" w:rsidRDefault="000821EB" w:rsidP="00725735">
            <w:pPr>
              <w:keepNext/>
              <w:autoSpaceDE w:val="0"/>
              <w:autoSpaceDN w:val="0"/>
              <w:adjustRightInd w:val="0"/>
              <w:spacing w:before="80" w:after="80"/>
              <w:jc w:val="right"/>
              <w:rPr>
                <w:rFonts w:ascii="Calibri" w:hAnsi="Calibri" w:cs="Calibri"/>
                <w:color w:val="000000"/>
                <w:sz w:val="20"/>
                <w:szCs w:val="20"/>
              </w:rPr>
            </w:pPr>
            <w:r w:rsidRPr="00FB27EB">
              <w:rPr>
                <w:rFonts w:ascii="Calibri" w:hAnsi="Calibri" w:cs="Calibri"/>
                <w:color w:val="000000"/>
                <w:sz w:val="20"/>
                <w:szCs w:val="20"/>
              </w:rPr>
              <w:t>432.7</w:t>
            </w:r>
          </w:p>
        </w:tc>
      </w:tr>
    </w:tbl>
    <w:p w:rsidR="00C45975" w:rsidRPr="00A00AA0" w:rsidRDefault="00C45975" w:rsidP="00424BA7"/>
    <w:sectPr w:rsidR="00C45975" w:rsidRPr="00A00AA0">
      <w:headerReference w:type="default" r:id="rId39"/>
      <w:footerReference w:type="default" r:id="rId4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Larry Harris" w:date="2013-08-18T07:13:00Z" w:initials="LEH">
    <w:p w:rsidR="004E72E5" w:rsidRDefault="004E72E5" w:rsidP="0000494F">
      <w:pPr>
        <w:pStyle w:val="CommentText"/>
      </w:pPr>
      <w:r>
        <w:rPr>
          <w:rStyle w:val="CommentReference"/>
        </w:rPr>
        <w:annotationRef/>
      </w:r>
      <w:hyperlink r:id="rId1" w:history="1">
        <w:r>
          <w:rPr>
            <w:rStyle w:val="Hyperlink"/>
          </w:rPr>
          <w:t>http://www.nasdaq.com/markets/ipos/company/all-tech-investment-group-inc-de-51968-10366</w:t>
        </w:r>
      </w:hyperlink>
    </w:p>
  </w:comment>
  <w:comment w:id="4" w:author="Larry Harris" w:date="2013-08-18T07:13:00Z" w:initials="LEH">
    <w:p w:rsidR="004E72E5" w:rsidRDefault="004E72E5" w:rsidP="0000494F">
      <w:pPr>
        <w:pStyle w:val="CommentText"/>
      </w:pPr>
      <w:r>
        <w:rPr>
          <w:rStyle w:val="CommentReference"/>
        </w:rPr>
        <w:annotationRef/>
      </w:r>
      <w:hyperlink r:id="rId2" w:history="1">
        <w:r>
          <w:rPr>
            <w:rStyle w:val="Hyperlink"/>
          </w:rPr>
          <w:t>http://www.cboe.com/publish/feeschedule/CBOEFeeSchedule.pdf</w:t>
        </w:r>
      </w:hyperlink>
    </w:p>
  </w:comment>
  <w:comment w:id="5" w:author="Larry Harris" w:date="2013-08-18T07:13:00Z" w:initials="LEH">
    <w:p w:rsidR="004E72E5" w:rsidRDefault="004E72E5" w:rsidP="0000494F">
      <w:pPr>
        <w:pStyle w:val="CommentText"/>
      </w:pPr>
      <w:r>
        <w:rPr>
          <w:rStyle w:val="CommentReference"/>
        </w:rPr>
        <w:annotationRef/>
      </w:r>
      <w:hyperlink r:id="rId3" w:history="1">
        <w:r>
          <w:rPr>
            <w:rStyle w:val="Hyperlink"/>
          </w:rPr>
          <w:t>http://www.sec.gov/rules/final/34-51808.pdf</w:t>
        </w:r>
      </w:hyperlink>
    </w:p>
  </w:comment>
  <w:comment w:id="6" w:author="Larry Harris" w:date="2013-08-18T07:13:00Z" w:initials="LEH">
    <w:p w:rsidR="004E72E5" w:rsidRDefault="004E72E5" w:rsidP="0000494F">
      <w:pPr>
        <w:pStyle w:val="CommentText"/>
      </w:pPr>
      <w:r>
        <w:rPr>
          <w:rStyle w:val="CommentReference"/>
        </w:rPr>
        <w:annotationRef/>
      </w:r>
      <w:hyperlink r:id="rId4" w:history="1">
        <w:r>
          <w:rPr>
            <w:rStyle w:val="Hyperlink"/>
          </w:rPr>
          <w:t>http://www.c2exchange.com/</w:t>
        </w:r>
      </w:hyperlink>
    </w:p>
  </w:comment>
  <w:comment w:id="9" w:author="Larry Harris" w:date="2013-08-28T09:31:00Z" w:initials="LEH">
    <w:p w:rsidR="004E72E5" w:rsidRDefault="004E72E5" w:rsidP="00091302">
      <w:pPr>
        <w:pStyle w:val="BodyText"/>
      </w:pPr>
      <w:r>
        <w:rPr>
          <w:rStyle w:val="CommentReference"/>
        </w:rPr>
        <w:annotationRef/>
      </w:r>
      <w:r>
        <w:t xml:space="preserve">For </w:t>
      </w:r>
      <m:oMath>
        <m:r>
          <w:rPr>
            <w:rFonts w:ascii="Cambria Math" w:hAnsi="Cambria Math"/>
          </w:rPr>
          <m:t>B</m:t>
        </m:r>
        <m:r>
          <w:rPr>
            <w:rFonts w:ascii="Cambria Math" w:hAnsi="Cambria Math"/>
          </w:rPr>
          <m:t>id-c≤V≤Ask+c</m:t>
        </m:r>
      </m:oMath>
    </w:p>
    <w:p w:rsidR="004E72E5" w:rsidRDefault="004E72E5" w:rsidP="00091302">
      <w:pPr>
        <w:pStyle w:val="BodyText"/>
      </w:pPr>
      <w:proofErr w:type="gramStart"/>
      <w:r>
        <w:t>or</w:t>
      </w:r>
      <w:proofErr w:type="gramEnd"/>
    </w:p>
    <w:p w:rsidR="004E72E5" w:rsidRDefault="004E72E5" w:rsidP="00091302">
      <w:pPr>
        <w:pStyle w:val="BodyText"/>
      </w:pPr>
      <m:oMathPara>
        <m:oMath>
          <m:r>
            <w:rPr>
              <w:rFonts w:ascii="Cambria Math" w:hAnsi="Cambria Math"/>
            </w:rPr>
            <m:t>M-</m:t>
          </m:r>
          <m:f>
            <m:fPr>
              <m:ctrlPr>
                <w:rPr>
                  <w:rFonts w:ascii="Cambria Math" w:hAnsi="Cambria Math"/>
                  <w:i/>
                </w:rPr>
              </m:ctrlPr>
            </m:fPr>
            <m:num>
              <m:r>
                <w:rPr>
                  <w:rFonts w:ascii="Cambria Math" w:hAnsi="Cambria Math"/>
                </w:rPr>
                <m:t>S</m:t>
              </m:r>
            </m:num>
            <m:den>
              <m:r>
                <w:rPr>
                  <w:rFonts w:ascii="Cambria Math" w:hAnsi="Cambria Math"/>
                </w:rPr>
                <m:t>2</m:t>
              </m:r>
            </m:den>
          </m:f>
          <m:r>
            <w:rPr>
              <w:rFonts w:ascii="Cambria Math" w:hAnsi="Cambria Math"/>
            </w:rPr>
            <m:t>-c≤V≤M+</m:t>
          </m:r>
          <m:f>
            <m:fPr>
              <m:ctrlPr>
                <w:rPr>
                  <w:rFonts w:ascii="Cambria Math" w:hAnsi="Cambria Math"/>
                  <w:i/>
                </w:rPr>
              </m:ctrlPr>
            </m:fPr>
            <m:num>
              <m:r>
                <w:rPr>
                  <w:rFonts w:ascii="Cambria Math" w:hAnsi="Cambria Math"/>
                </w:rPr>
                <m:t>S</m:t>
              </m:r>
            </m:num>
            <m:den>
              <m:r>
                <w:rPr>
                  <w:rFonts w:ascii="Cambria Math" w:hAnsi="Cambria Math"/>
                </w:rPr>
                <m:t>2</m:t>
              </m:r>
            </m:den>
          </m:f>
          <m:r>
            <w:rPr>
              <w:rFonts w:ascii="Cambria Math" w:hAnsi="Cambria Math"/>
            </w:rPr>
            <m:t>+c ,</m:t>
          </m:r>
        </m:oMath>
      </m:oMathPara>
    </w:p>
    <w:p w:rsidR="004E72E5" w:rsidRDefault="004E72E5" w:rsidP="00091302">
      <w:pPr>
        <w:pStyle w:val="BodyText"/>
      </w:pPr>
    </w:p>
    <w:p w:rsidR="004E72E5" w:rsidRDefault="00C67A10" w:rsidP="00091302">
      <w:pPr>
        <w:pStyle w:val="BodyText"/>
      </w:pPr>
      <m:oMathPara>
        <m:oMath>
          <m:sSup>
            <m:sSupPr>
              <m:ctrlPr>
                <w:rPr>
                  <w:rFonts w:ascii="Cambria Math" w:hAnsi="Cambria Math"/>
                  <w:i/>
                </w:rPr>
              </m:ctrlPr>
            </m:sSupPr>
            <m:e>
              <m:acc>
                <m:accPr>
                  <m:ctrlPr>
                    <w:rPr>
                      <w:rFonts w:ascii="Cambria Math" w:hAnsi="Cambria Math"/>
                      <w:i/>
                    </w:rPr>
                  </m:ctrlPr>
                </m:accPr>
                <m:e>
                  <m:r>
                    <w:rPr>
                      <w:rFonts w:ascii="Cambria Math" w:hAnsi="Cambria Math"/>
                    </w:rPr>
                    <m:t>V</m:t>
                  </m:r>
                </m:e>
              </m:acc>
            </m:e>
            <m:sup>
              <m:r>
                <w:rPr>
                  <w:rFonts w:ascii="Cambria Math" w:hAnsi="Cambria Math"/>
                </w:rPr>
                <m:t>a</m:t>
              </m:r>
            </m:sup>
          </m:sSup>
          <m:r>
            <w:rPr>
              <w:rFonts w:ascii="Cambria Math" w:hAnsi="Cambria Math"/>
            </w:rPr>
            <m:t>=M+</m:t>
          </m:r>
          <m:f>
            <m:fPr>
              <m:ctrlPr>
                <w:rPr>
                  <w:rFonts w:ascii="Cambria Math" w:hAnsi="Cambria Math"/>
                  <w:i/>
                </w:rPr>
              </m:ctrlPr>
            </m:fPr>
            <m:num>
              <m:r>
                <w:rPr>
                  <w:rFonts w:ascii="Cambria Math" w:hAnsi="Cambria Math"/>
                </w:rPr>
                <m:t>S</m:t>
              </m:r>
            </m:num>
            <m:den>
              <m:r>
                <w:rPr>
                  <w:rFonts w:ascii="Cambria Math" w:hAnsi="Cambria Math"/>
                </w:rPr>
                <m:t>2</m:t>
              </m:r>
            </m:den>
          </m:f>
          <m:d>
            <m:dPr>
              <m:ctrlPr>
                <w:rPr>
                  <w:rFonts w:ascii="Cambria Math" w:hAnsi="Cambria Math"/>
                  <w:i/>
                </w:rPr>
              </m:ctrlPr>
            </m:dPr>
            <m:e>
              <m:f>
                <m:fPr>
                  <m:ctrlPr>
                    <w:rPr>
                      <w:rFonts w:ascii="Cambria Math" w:hAnsi="Cambria Math"/>
                      <w:i/>
                    </w:rPr>
                  </m:ctrlPr>
                </m:fPr>
                <m:num>
                  <m:r>
                    <w:rPr>
                      <w:rFonts w:ascii="Cambria Math" w:hAnsi="Cambria Math"/>
                    </w:rPr>
                    <m:t>R-1</m:t>
                  </m:r>
                </m:num>
                <m:den>
                  <m:r>
                    <w:rPr>
                      <w:rFonts w:ascii="Cambria Math" w:hAnsi="Cambria Math"/>
                    </w:rPr>
                    <m:t>R+1</m:t>
                  </m:r>
                </m:den>
              </m:f>
            </m:e>
          </m:d>
          <m:r>
            <w:rPr>
              <w:rFonts w:ascii="Cambria Math" w:hAnsi="Cambria Math"/>
            </w:rPr>
            <m:t>+c</m:t>
          </m:r>
          <m:d>
            <m:dPr>
              <m:ctrlPr>
                <w:rPr>
                  <w:rFonts w:ascii="Cambria Math" w:hAnsi="Cambria Math"/>
                  <w:i/>
                </w:rPr>
              </m:ctrlPr>
            </m:dPr>
            <m:e>
              <m:f>
                <m:fPr>
                  <m:ctrlPr>
                    <w:rPr>
                      <w:rFonts w:ascii="Cambria Math" w:hAnsi="Cambria Math"/>
                      <w:i/>
                    </w:rPr>
                  </m:ctrlPr>
                </m:fPr>
                <m:num>
                  <m:r>
                    <w:rPr>
                      <w:rFonts w:ascii="Cambria Math" w:hAnsi="Cambria Math"/>
                    </w:rPr>
                    <m:t>R-1</m:t>
                  </m:r>
                </m:num>
                <m:den>
                  <m:r>
                    <w:rPr>
                      <w:rFonts w:ascii="Cambria Math" w:hAnsi="Cambria Math"/>
                    </w:rPr>
                    <m:t>R+1</m:t>
                  </m:r>
                </m:den>
              </m:f>
            </m:e>
          </m:d>
        </m:oMath>
      </m:oMathPara>
    </w:p>
    <w:p w:rsidR="004E72E5" w:rsidRDefault="004E72E5" w:rsidP="00091302">
      <w:pPr>
        <w:pStyle w:val="BodyText"/>
      </w:pPr>
      <m:oMathPara>
        <m:oMath>
          <m:r>
            <w:rPr>
              <w:rFonts w:ascii="Cambria Math" w:hAnsi="Cambria Math"/>
            </w:rPr>
            <m:t>V-M=</m:t>
          </m:r>
          <m:d>
            <m:dPr>
              <m:ctrlPr>
                <w:rPr>
                  <w:rFonts w:ascii="Cambria Math" w:hAnsi="Cambria Math"/>
                  <w:i/>
                </w:rPr>
              </m:ctrlPr>
            </m:dPr>
            <m:e>
              <m:f>
                <m:fPr>
                  <m:ctrlPr>
                    <w:rPr>
                      <w:rFonts w:ascii="Cambria Math" w:hAnsi="Cambria Math"/>
                      <w:i/>
                    </w:rPr>
                  </m:ctrlPr>
                </m:fPr>
                <m:num>
                  <m:r>
                    <w:rPr>
                      <w:rFonts w:ascii="Cambria Math" w:hAnsi="Cambria Math"/>
                    </w:rPr>
                    <m:t>S</m:t>
                  </m:r>
                </m:num>
                <m:den>
                  <m:r>
                    <w:rPr>
                      <w:rFonts w:ascii="Cambria Math" w:hAnsi="Cambria Math"/>
                    </w:rPr>
                    <m:t>2</m:t>
                  </m:r>
                </m:den>
              </m:f>
              <m:r>
                <w:rPr>
                  <w:rFonts w:ascii="Cambria Math" w:hAnsi="Cambria Math"/>
                </w:rPr>
                <m:t>+c</m:t>
              </m:r>
            </m:e>
          </m:d>
          <m:d>
            <m:dPr>
              <m:ctrlPr>
                <w:rPr>
                  <w:rFonts w:ascii="Cambria Math" w:hAnsi="Cambria Math"/>
                  <w:i/>
                </w:rPr>
              </m:ctrlPr>
            </m:dPr>
            <m:e>
              <m:f>
                <m:fPr>
                  <m:ctrlPr>
                    <w:rPr>
                      <w:rFonts w:ascii="Cambria Math" w:hAnsi="Cambria Math"/>
                      <w:i/>
                    </w:rPr>
                  </m:ctrlPr>
                </m:fPr>
                <m:num>
                  <m:r>
                    <w:rPr>
                      <w:rFonts w:ascii="Cambria Math" w:hAnsi="Cambria Math"/>
                    </w:rPr>
                    <m:t>R-1</m:t>
                  </m:r>
                </m:num>
                <m:den>
                  <m:r>
                    <w:rPr>
                      <w:rFonts w:ascii="Cambria Math" w:hAnsi="Cambria Math"/>
                    </w:rPr>
                    <m:t>R+1</m:t>
                  </m:r>
                </m:den>
              </m:f>
            </m:e>
          </m:d>
        </m:oMath>
      </m:oMathPara>
    </w:p>
    <w:p w:rsidR="004E72E5" w:rsidRDefault="00C67A10" w:rsidP="00091302">
      <w:pPr>
        <w:pStyle w:val="BodyText"/>
      </w:pPr>
      <m:oMathPara>
        <m:oMath>
          <m:f>
            <m:fPr>
              <m:ctrlPr>
                <w:rPr>
                  <w:rFonts w:ascii="Cambria Math" w:hAnsi="Cambria Math"/>
                  <w:i/>
                </w:rPr>
              </m:ctrlPr>
            </m:fPr>
            <m:num>
              <m:r>
                <w:rPr>
                  <w:rFonts w:ascii="Cambria Math" w:hAnsi="Cambria Math"/>
                </w:rPr>
                <m:t>R-1</m:t>
              </m:r>
            </m:num>
            <m:den>
              <m:r>
                <w:rPr>
                  <w:rFonts w:ascii="Cambria Math" w:hAnsi="Cambria Math"/>
                </w:rPr>
                <m:t>R+1</m:t>
              </m:r>
            </m:den>
          </m:f>
          <m:r>
            <w:rPr>
              <w:rFonts w:ascii="Cambria Math" w:hAnsi="Cambria Math"/>
            </w:rPr>
            <m:t>=2</m:t>
          </m:r>
          <m:f>
            <m:fPr>
              <m:ctrlPr>
                <w:rPr>
                  <w:rFonts w:ascii="Cambria Math" w:hAnsi="Cambria Math"/>
                  <w:i/>
                </w:rPr>
              </m:ctrlPr>
            </m:fPr>
            <m:num>
              <m:r>
                <w:rPr>
                  <w:rFonts w:ascii="Cambria Math" w:hAnsi="Cambria Math"/>
                </w:rPr>
                <m:t>V-M</m:t>
              </m:r>
            </m:num>
            <m:den>
              <m:r>
                <w:rPr>
                  <w:rFonts w:ascii="Cambria Math" w:hAnsi="Cambria Math"/>
                </w:rPr>
                <m:t>S+2c</m:t>
              </m:r>
            </m:den>
          </m:f>
          <m:r>
            <w:rPr>
              <w:rFonts w:ascii="Cambria Math" w:hAnsi="Cambria Math"/>
            </w:rPr>
            <m:t>=k</m:t>
          </m:r>
        </m:oMath>
      </m:oMathPara>
    </w:p>
    <w:p w:rsidR="004E72E5" w:rsidRDefault="004E72E5" w:rsidP="00091302">
      <w:pPr>
        <w:pStyle w:val="BodyText"/>
      </w:pPr>
      <m:oMathPara>
        <m:oMath>
          <m:r>
            <w:rPr>
              <w:rFonts w:ascii="Cambria Math" w:hAnsi="Cambria Math"/>
            </w:rPr>
            <m:t>R=</m:t>
          </m:r>
          <m:f>
            <m:fPr>
              <m:ctrlPr>
                <w:rPr>
                  <w:rFonts w:ascii="Cambria Math" w:hAnsi="Cambria Math"/>
                  <w:i/>
                </w:rPr>
              </m:ctrlPr>
            </m:fPr>
            <m:num>
              <m:r>
                <w:rPr>
                  <w:rFonts w:ascii="Cambria Math" w:hAnsi="Cambria Math"/>
                </w:rPr>
                <m:t>k+1</m:t>
              </m:r>
            </m:num>
            <m:den>
              <m:r>
                <w:rPr>
                  <w:rFonts w:ascii="Cambria Math" w:hAnsi="Cambria Math"/>
                </w:rPr>
                <m:t>1-k</m:t>
              </m:r>
            </m:den>
          </m:f>
        </m:oMath>
      </m:oMathPara>
    </w:p>
    <w:p w:rsidR="004E72E5" w:rsidRDefault="004E72E5" w:rsidP="00091302">
      <w:pPr>
        <w:pStyle w:val="BodyText"/>
      </w:pPr>
      <m:oMathPara>
        <m:oMath>
          <m:r>
            <w:rPr>
              <w:rFonts w:ascii="Cambria Math" w:hAnsi="Cambria Math"/>
            </w:rPr>
            <m:t>R=</m:t>
          </m:r>
          <m:f>
            <m:fPr>
              <m:ctrlPr>
                <w:rPr>
                  <w:rFonts w:ascii="Cambria Math" w:hAnsi="Cambria Math"/>
                  <w:i/>
                </w:rPr>
              </m:ctrlPr>
            </m:fPr>
            <m:num>
              <m:r>
                <w:rPr>
                  <w:rFonts w:ascii="Cambria Math" w:hAnsi="Cambria Math"/>
                </w:rPr>
                <m:t>2</m:t>
              </m:r>
              <m:f>
                <m:fPr>
                  <m:ctrlPr>
                    <w:rPr>
                      <w:rFonts w:ascii="Cambria Math" w:hAnsi="Cambria Math"/>
                      <w:i/>
                    </w:rPr>
                  </m:ctrlPr>
                </m:fPr>
                <m:num>
                  <m:r>
                    <w:rPr>
                      <w:rFonts w:ascii="Cambria Math" w:hAnsi="Cambria Math"/>
                    </w:rPr>
                    <m:t>V-M</m:t>
                  </m:r>
                </m:num>
                <m:den>
                  <m:r>
                    <w:rPr>
                      <w:rFonts w:ascii="Cambria Math" w:hAnsi="Cambria Math"/>
                    </w:rPr>
                    <m:t>S+2c</m:t>
                  </m:r>
                </m:den>
              </m:f>
              <m:r>
                <w:rPr>
                  <w:rFonts w:ascii="Cambria Math" w:hAnsi="Cambria Math"/>
                </w:rPr>
                <m:t>+1</m:t>
              </m:r>
            </m:num>
            <m:den>
              <m:r>
                <w:rPr>
                  <w:rFonts w:ascii="Cambria Math" w:hAnsi="Cambria Math"/>
                </w:rPr>
                <m:t>1-2</m:t>
              </m:r>
              <m:f>
                <m:fPr>
                  <m:ctrlPr>
                    <w:rPr>
                      <w:rFonts w:ascii="Cambria Math" w:hAnsi="Cambria Math"/>
                      <w:i/>
                    </w:rPr>
                  </m:ctrlPr>
                </m:fPr>
                <m:num>
                  <m:r>
                    <w:rPr>
                      <w:rFonts w:ascii="Cambria Math" w:hAnsi="Cambria Math"/>
                    </w:rPr>
                    <m:t>V-M</m:t>
                  </m:r>
                </m:num>
                <m:den>
                  <m:r>
                    <w:rPr>
                      <w:rFonts w:ascii="Cambria Math" w:hAnsi="Cambria Math"/>
                    </w:rPr>
                    <m:t>S+2c</m:t>
                  </m:r>
                </m:den>
              </m:f>
            </m:den>
          </m:f>
        </m:oMath>
      </m:oMathPara>
    </w:p>
    <w:p w:rsidR="004E72E5" w:rsidRDefault="004E72E5" w:rsidP="00091302">
      <w:pPr>
        <w:pStyle w:val="BodyText"/>
      </w:pPr>
      <m:oMathPara>
        <m:oMath>
          <m:r>
            <w:rPr>
              <w:rFonts w:ascii="Cambria Math" w:hAnsi="Cambria Math"/>
            </w:rPr>
            <m:t>R=</m:t>
          </m:r>
          <m:f>
            <m:fPr>
              <m:ctrlPr>
                <w:rPr>
                  <w:rFonts w:ascii="Cambria Math" w:hAnsi="Cambria Math"/>
                  <w:i/>
                </w:rPr>
              </m:ctrlPr>
            </m:fPr>
            <m:num>
              <m:r>
                <w:rPr>
                  <w:rFonts w:ascii="Cambria Math" w:hAnsi="Cambria Math"/>
                </w:rPr>
                <m:t>2</m:t>
              </m:r>
              <m:d>
                <m:dPr>
                  <m:ctrlPr>
                    <w:rPr>
                      <w:rFonts w:ascii="Cambria Math" w:hAnsi="Cambria Math"/>
                      <w:i/>
                    </w:rPr>
                  </m:ctrlPr>
                </m:dPr>
                <m:e>
                  <m:r>
                    <w:rPr>
                      <w:rFonts w:ascii="Cambria Math" w:hAnsi="Cambria Math"/>
                    </w:rPr>
                    <m:t>V-M</m:t>
                  </m:r>
                </m:e>
              </m:d>
              <m:r>
                <w:rPr>
                  <w:rFonts w:ascii="Cambria Math" w:hAnsi="Cambria Math"/>
                </w:rPr>
                <m:t>+S+2c</m:t>
              </m:r>
            </m:num>
            <m:den>
              <m:r>
                <w:rPr>
                  <w:rFonts w:ascii="Cambria Math" w:hAnsi="Cambria Math"/>
                </w:rPr>
                <m:t>S+2c-2</m:t>
              </m:r>
              <m:d>
                <m:dPr>
                  <m:ctrlPr>
                    <w:rPr>
                      <w:rFonts w:ascii="Cambria Math" w:hAnsi="Cambria Math"/>
                      <w:i/>
                    </w:rPr>
                  </m:ctrlPr>
                </m:dPr>
                <m:e>
                  <m:r>
                    <w:rPr>
                      <w:rFonts w:ascii="Cambria Math" w:hAnsi="Cambria Math"/>
                    </w:rPr>
                    <m:t>V-M</m:t>
                  </m:r>
                </m:e>
              </m:d>
            </m:den>
          </m:f>
        </m:oMath>
      </m:oMathPara>
    </w:p>
    <w:p w:rsidR="004E72E5" w:rsidRDefault="004E72E5" w:rsidP="00091302">
      <w:pPr>
        <w:pStyle w:val="BodyText"/>
      </w:pPr>
      <m:oMathPara>
        <m:oMath>
          <m:r>
            <w:rPr>
              <w:rFonts w:ascii="Cambria Math" w:hAnsi="Cambria Math"/>
            </w:rPr>
            <m:t>R=</m:t>
          </m:r>
          <m:f>
            <m:fPr>
              <m:ctrlPr>
                <w:rPr>
                  <w:rFonts w:ascii="Cambria Math" w:hAnsi="Cambria Math"/>
                  <w:i/>
                </w:rPr>
              </m:ctrlPr>
            </m:fPr>
            <m:num>
              <m:r>
                <w:rPr>
                  <w:rFonts w:ascii="Cambria Math" w:hAnsi="Cambria Math"/>
                </w:rPr>
                <m:t>V-M+</m:t>
              </m:r>
              <m:f>
                <m:fPr>
                  <m:ctrlPr>
                    <w:rPr>
                      <w:rFonts w:ascii="Cambria Math" w:hAnsi="Cambria Math"/>
                      <w:i/>
                    </w:rPr>
                  </m:ctrlPr>
                </m:fPr>
                <m:num>
                  <m:r>
                    <w:rPr>
                      <w:rFonts w:ascii="Cambria Math" w:hAnsi="Cambria Math"/>
                    </w:rPr>
                    <m:t>S</m:t>
                  </m:r>
                </m:num>
                <m:den>
                  <m:r>
                    <w:rPr>
                      <w:rFonts w:ascii="Cambria Math" w:hAnsi="Cambria Math"/>
                    </w:rPr>
                    <m:t>2</m:t>
                  </m:r>
                </m:den>
              </m:f>
              <m:r>
                <w:rPr>
                  <w:rFonts w:ascii="Cambria Math" w:hAnsi="Cambria Math"/>
                </w:rPr>
                <m:t>+c</m:t>
              </m:r>
            </m:num>
            <m:den>
              <m:f>
                <m:fPr>
                  <m:ctrlPr>
                    <w:rPr>
                      <w:rFonts w:ascii="Cambria Math" w:hAnsi="Cambria Math"/>
                      <w:i/>
                    </w:rPr>
                  </m:ctrlPr>
                </m:fPr>
                <m:num>
                  <m:r>
                    <w:rPr>
                      <w:rFonts w:ascii="Cambria Math" w:hAnsi="Cambria Math"/>
                    </w:rPr>
                    <m:t>S</m:t>
                  </m:r>
                </m:num>
                <m:den>
                  <m:r>
                    <w:rPr>
                      <w:rFonts w:ascii="Cambria Math" w:hAnsi="Cambria Math"/>
                    </w:rPr>
                    <m:t>2</m:t>
                  </m:r>
                </m:den>
              </m:f>
              <m:r>
                <w:rPr>
                  <w:rFonts w:ascii="Cambria Math" w:hAnsi="Cambria Math"/>
                </w:rPr>
                <m:t>+c-</m:t>
              </m:r>
              <m:d>
                <m:dPr>
                  <m:ctrlPr>
                    <w:rPr>
                      <w:rFonts w:ascii="Cambria Math" w:hAnsi="Cambria Math"/>
                      <w:i/>
                    </w:rPr>
                  </m:ctrlPr>
                </m:dPr>
                <m:e>
                  <m:r>
                    <w:rPr>
                      <w:rFonts w:ascii="Cambria Math" w:hAnsi="Cambria Math"/>
                    </w:rPr>
                    <m:t>V-M</m:t>
                  </m:r>
                </m:e>
              </m:d>
            </m:den>
          </m:f>
        </m:oMath>
      </m:oMathPara>
    </w:p>
    <w:p w:rsidR="004E72E5" w:rsidRDefault="004E72E5" w:rsidP="00091302">
      <w:pPr>
        <w:pStyle w:val="BodyText"/>
      </w:pPr>
      <m:oMathPara>
        <m:oMath>
          <m:r>
            <w:rPr>
              <w:rFonts w:ascii="Cambria Math" w:hAnsi="Cambria Math"/>
            </w:rPr>
            <m:t>R=</m:t>
          </m:r>
          <m:f>
            <m:fPr>
              <m:ctrlPr>
                <w:rPr>
                  <w:rFonts w:ascii="Cambria Math" w:hAnsi="Cambria Math"/>
                  <w:i/>
                </w:rPr>
              </m:ctrlPr>
            </m:fPr>
            <m:num>
              <m:r>
                <w:rPr>
                  <w:rFonts w:ascii="Cambria Math" w:hAnsi="Cambria Math"/>
                </w:rPr>
                <m:t>V-M+</m:t>
              </m:r>
              <m:f>
                <m:fPr>
                  <m:ctrlPr>
                    <w:rPr>
                      <w:rFonts w:ascii="Cambria Math" w:hAnsi="Cambria Math"/>
                      <w:i/>
                    </w:rPr>
                  </m:ctrlPr>
                </m:fPr>
                <m:num>
                  <m:r>
                    <w:rPr>
                      <w:rFonts w:ascii="Cambria Math" w:hAnsi="Cambria Math"/>
                    </w:rPr>
                    <m:t>S</m:t>
                  </m:r>
                </m:num>
                <m:den>
                  <m:r>
                    <w:rPr>
                      <w:rFonts w:ascii="Cambria Math" w:hAnsi="Cambria Math"/>
                    </w:rPr>
                    <m:t>2</m:t>
                  </m:r>
                </m:den>
              </m:f>
              <m:r>
                <w:rPr>
                  <w:rFonts w:ascii="Cambria Math" w:hAnsi="Cambria Math"/>
                </w:rPr>
                <m:t>+c</m:t>
              </m:r>
            </m:num>
            <m:den>
              <m:f>
                <m:fPr>
                  <m:ctrlPr>
                    <w:rPr>
                      <w:rFonts w:ascii="Cambria Math" w:hAnsi="Cambria Math"/>
                      <w:i/>
                    </w:rPr>
                  </m:ctrlPr>
                </m:fPr>
                <m:num>
                  <m:r>
                    <w:rPr>
                      <w:rFonts w:ascii="Cambria Math" w:hAnsi="Cambria Math"/>
                    </w:rPr>
                    <m:t>S</m:t>
                  </m:r>
                </m:num>
                <m:den>
                  <m:r>
                    <w:rPr>
                      <w:rFonts w:ascii="Cambria Math" w:hAnsi="Cambria Math"/>
                    </w:rPr>
                    <m:t>2</m:t>
                  </m:r>
                </m:den>
              </m:f>
              <m:r>
                <w:rPr>
                  <w:rFonts w:ascii="Cambria Math" w:hAnsi="Cambria Math"/>
                </w:rPr>
                <m:t>+c-</m:t>
              </m:r>
              <m:d>
                <m:dPr>
                  <m:ctrlPr>
                    <w:rPr>
                      <w:rFonts w:ascii="Cambria Math" w:hAnsi="Cambria Math"/>
                      <w:i/>
                    </w:rPr>
                  </m:ctrlPr>
                </m:dPr>
                <m:e>
                  <m:r>
                    <w:rPr>
                      <w:rFonts w:ascii="Cambria Math" w:hAnsi="Cambria Math"/>
                    </w:rPr>
                    <m:t>V-M</m:t>
                  </m:r>
                </m:e>
              </m:d>
            </m:den>
          </m:f>
        </m:oMath>
      </m:oMathPara>
    </w:p>
    <w:p w:rsidR="004E72E5" w:rsidRDefault="004E72E5" w:rsidP="00091302">
      <w:pPr>
        <w:pStyle w:val="CommentText"/>
      </w:pPr>
    </w:p>
  </w:comment>
  <w:comment w:id="10" w:author="Larry Harris" w:date="2013-08-28T09:31:00Z" w:initials="LEH">
    <w:p w:rsidR="004E72E5" w:rsidRDefault="004E72E5" w:rsidP="00091302">
      <w:pPr>
        <w:pStyle w:val="BodyText"/>
      </w:pPr>
      <w:r>
        <w:rPr>
          <w:rStyle w:val="CommentReference"/>
        </w:rPr>
        <w:annotationRef/>
      </w:r>
      <m:oMath>
        <m:r>
          <m:rPr>
            <m:sty m:val="p"/>
          </m:rPr>
          <w:rPr>
            <w:rFonts w:ascii="Cambria Math" w:hAnsi="Cambria Math"/>
          </w:rPr>
          <w:br/>
        </m:r>
      </m:oMath>
      <m:oMathPara>
        <m:oMath>
          <m:acc>
            <m:accPr>
              <m:ctrlPr>
                <w:rPr>
                  <w:rFonts w:ascii="Cambria Math" w:hAnsi="Cambria Math"/>
                </w:rPr>
              </m:ctrlPr>
            </m:accPr>
            <m:e>
              <m:r>
                <w:rPr>
                  <w:rFonts w:ascii="Cambria Math" w:hAnsi="Cambria Math"/>
                </w:rPr>
                <m:t>V</m:t>
              </m:r>
            </m:e>
          </m:acc>
          <m:r>
            <m:rPr>
              <m:sty m:val="p"/>
            </m:rPr>
            <w:rPr>
              <w:rFonts w:ascii="Cambria Math" w:hAnsi="Cambria Math"/>
            </w:rPr>
            <m:t>=</m:t>
          </m:r>
          <m:r>
            <w:rPr>
              <w:rFonts w:ascii="Cambria Math" w:hAnsi="Cambria Math"/>
            </w:rPr>
            <m:t>M</m:t>
          </m:r>
          <m:r>
            <m:rPr>
              <m:sty m:val="p"/>
            </m:rPr>
            <w:rPr>
              <w:rFonts w:ascii="Cambria Math" w:hAnsi="Cambria Math"/>
            </w:rPr>
            <m:t>+</m:t>
          </m:r>
          <m:f>
            <m:fPr>
              <m:ctrlPr>
                <w:rPr>
                  <w:rFonts w:ascii="Cambria Math" w:hAnsi="Cambria Math"/>
                </w:rPr>
              </m:ctrlPr>
            </m:fPr>
            <m:num>
              <m:r>
                <w:rPr>
                  <w:rFonts w:ascii="Cambria Math" w:hAnsi="Cambria Math"/>
                </w:rPr>
                <m:t>S</m:t>
              </m:r>
            </m:num>
            <m:den>
              <m:r>
                <m:rPr>
                  <m:sty m:val="p"/>
                </m:rPr>
                <w:rPr>
                  <w:rFonts w:ascii="Cambria Math" w:hAnsi="Cambria Math"/>
                </w:rPr>
                <m:t>2</m:t>
              </m:r>
            </m:den>
          </m:f>
          <m:d>
            <m:dPr>
              <m:ctrlPr>
                <w:rPr>
                  <w:rFonts w:ascii="Cambria Math" w:hAnsi="Cambria Math"/>
                </w:rPr>
              </m:ctrlPr>
            </m:dPr>
            <m:e>
              <m:f>
                <m:fPr>
                  <m:ctrlPr>
                    <w:rPr>
                      <w:rFonts w:ascii="Cambria Math" w:hAnsi="Cambria Math"/>
                    </w:rPr>
                  </m:ctrlPr>
                </m:fPr>
                <m:num>
                  <m:r>
                    <w:rPr>
                      <w:rFonts w:ascii="Cambria Math" w:hAnsi="Cambria Math"/>
                    </w:rPr>
                    <m:t>R</m:t>
                  </m:r>
                  <m:r>
                    <m:rPr>
                      <m:sty m:val="p"/>
                    </m:rPr>
                    <w:rPr>
                      <w:rFonts w:ascii="Cambria Math" w:hAnsi="Cambria Math"/>
                    </w:rPr>
                    <m:t>-1</m:t>
                  </m:r>
                </m:num>
                <m:den>
                  <m:r>
                    <w:rPr>
                      <w:rFonts w:ascii="Cambria Math" w:hAnsi="Cambria Math"/>
                    </w:rPr>
                    <m:t>R</m:t>
                  </m:r>
                  <m:r>
                    <m:rPr>
                      <m:sty m:val="p"/>
                    </m:rPr>
                    <w:rPr>
                      <w:rFonts w:ascii="Cambria Math" w:hAnsi="Cambria Math"/>
                    </w:rPr>
                    <m:t>+1</m:t>
                  </m:r>
                </m:den>
              </m:f>
            </m:e>
          </m:d>
        </m:oMath>
      </m:oMathPara>
    </w:p>
    <w:p w:rsidR="004E72E5" w:rsidRDefault="004E72E5" w:rsidP="00091302">
      <w:pPr>
        <w:pStyle w:val="BodyText"/>
      </w:pPr>
      <w:r>
        <w:t xml:space="preserve">From the derivation of R above (see the previous comment), we know that </w:t>
      </w:r>
    </w:p>
    <w:p w:rsidR="004E72E5" w:rsidRDefault="00C67A10" w:rsidP="00091302">
      <w:pPr>
        <w:pStyle w:val="BodyText"/>
      </w:pPr>
      <m:oMathPara>
        <m:oMath>
          <m:f>
            <m:fPr>
              <m:ctrlPr>
                <w:rPr>
                  <w:rFonts w:ascii="Cambria Math" w:hAnsi="Cambria Math"/>
                  <w:i/>
                </w:rPr>
              </m:ctrlPr>
            </m:fPr>
            <m:num>
              <m:r>
                <w:rPr>
                  <w:rFonts w:ascii="Cambria Math" w:hAnsi="Cambria Math"/>
                </w:rPr>
                <m:t>R-1</m:t>
              </m:r>
            </m:num>
            <m:den>
              <m:r>
                <w:rPr>
                  <w:rFonts w:ascii="Cambria Math" w:hAnsi="Cambria Math"/>
                </w:rPr>
                <m:t>R+1</m:t>
              </m:r>
            </m:den>
          </m:f>
          <m:r>
            <w:rPr>
              <w:rFonts w:ascii="Cambria Math" w:hAnsi="Cambria Math"/>
            </w:rPr>
            <m:t>=2</m:t>
          </m:r>
          <m:f>
            <m:fPr>
              <m:ctrlPr>
                <w:rPr>
                  <w:rFonts w:ascii="Cambria Math" w:hAnsi="Cambria Math"/>
                  <w:i/>
                </w:rPr>
              </m:ctrlPr>
            </m:fPr>
            <m:num>
              <m:r>
                <w:rPr>
                  <w:rFonts w:ascii="Cambria Math" w:hAnsi="Cambria Math"/>
                </w:rPr>
                <m:t>V-M</m:t>
              </m:r>
            </m:num>
            <m:den>
              <m:r>
                <w:rPr>
                  <w:rFonts w:ascii="Cambria Math" w:hAnsi="Cambria Math"/>
                </w:rPr>
                <m:t>S+2c</m:t>
              </m:r>
            </m:den>
          </m:f>
        </m:oMath>
      </m:oMathPara>
    </w:p>
    <w:p w:rsidR="004E72E5" w:rsidRDefault="004E72E5" w:rsidP="00091302">
      <w:pPr>
        <w:pStyle w:val="BodyText"/>
      </w:pPr>
      <w:proofErr w:type="gramStart"/>
      <w:r>
        <w:t>so</w:t>
      </w:r>
      <w:proofErr w:type="gramEnd"/>
      <w:r>
        <w:t xml:space="preserve"> substituting gives</w:t>
      </w:r>
    </w:p>
    <w:p w:rsidR="004E72E5" w:rsidRDefault="00C67A10" w:rsidP="00091302">
      <w:pPr>
        <w:pStyle w:val="BodyText"/>
      </w:pPr>
      <m:oMathPara>
        <m:oMath>
          <m:acc>
            <m:accPr>
              <m:ctrlPr>
                <w:rPr>
                  <w:rFonts w:ascii="Cambria Math" w:hAnsi="Cambria Math"/>
                </w:rPr>
              </m:ctrlPr>
            </m:accPr>
            <m:e>
              <m:r>
                <w:rPr>
                  <w:rFonts w:ascii="Cambria Math" w:hAnsi="Cambria Math"/>
                </w:rPr>
                <m:t>V</m:t>
              </m:r>
            </m:e>
          </m:acc>
          <m:r>
            <m:rPr>
              <m:sty m:val="p"/>
            </m:rPr>
            <w:rPr>
              <w:rFonts w:ascii="Cambria Math" w:hAnsi="Cambria Math"/>
            </w:rPr>
            <m:t>=</m:t>
          </m:r>
          <m:r>
            <w:rPr>
              <w:rFonts w:ascii="Cambria Math" w:hAnsi="Cambria Math"/>
            </w:rPr>
            <m:t>M</m:t>
          </m:r>
          <m:r>
            <m:rPr>
              <m:sty m:val="p"/>
            </m:rPr>
            <w:rPr>
              <w:rFonts w:ascii="Cambria Math" w:hAnsi="Cambria Math"/>
            </w:rPr>
            <m:t>+</m:t>
          </m:r>
          <m:f>
            <m:fPr>
              <m:ctrlPr>
                <w:rPr>
                  <w:rFonts w:ascii="Cambria Math" w:hAnsi="Cambria Math"/>
                </w:rPr>
              </m:ctrlPr>
            </m:fPr>
            <m:num>
              <m:r>
                <w:rPr>
                  <w:rFonts w:ascii="Cambria Math" w:hAnsi="Cambria Math"/>
                </w:rPr>
                <m:t>S</m:t>
              </m:r>
            </m:num>
            <m:den>
              <m:r>
                <m:rPr>
                  <m:sty m:val="p"/>
                </m:rPr>
                <w:rPr>
                  <w:rFonts w:ascii="Cambria Math" w:hAnsi="Cambria Math"/>
                </w:rPr>
                <m:t>2</m:t>
              </m:r>
            </m:den>
          </m:f>
          <m:d>
            <m:dPr>
              <m:ctrlPr>
                <w:rPr>
                  <w:rFonts w:ascii="Cambria Math" w:hAnsi="Cambria Math"/>
                </w:rPr>
              </m:ctrlPr>
            </m:dPr>
            <m:e>
              <m:r>
                <w:rPr>
                  <w:rFonts w:ascii="Cambria Math" w:hAnsi="Cambria Math"/>
                </w:rPr>
                <m:t>2</m:t>
              </m:r>
              <m:f>
                <m:fPr>
                  <m:ctrlPr>
                    <w:rPr>
                      <w:rFonts w:ascii="Cambria Math" w:hAnsi="Cambria Math"/>
                      <w:i/>
                    </w:rPr>
                  </m:ctrlPr>
                </m:fPr>
                <m:num>
                  <m:r>
                    <w:rPr>
                      <w:rFonts w:ascii="Cambria Math" w:hAnsi="Cambria Math"/>
                    </w:rPr>
                    <m:t>V-M</m:t>
                  </m:r>
                </m:num>
                <m:den>
                  <m:r>
                    <w:rPr>
                      <w:rFonts w:ascii="Cambria Math" w:hAnsi="Cambria Math"/>
                    </w:rPr>
                    <m:t>S+2c</m:t>
                  </m:r>
                </m:den>
              </m:f>
            </m:e>
          </m:d>
        </m:oMath>
      </m:oMathPara>
    </w:p>
    <w:p w:rsidR="004E72E5" w:rsidRDefault="00C67A10" w:rsidP="00091302">
      <w:pPr>
        <w:pStyle w:val="BodyText"/>
      </w:pPr>
      <m:oMathPara>
        <m:oMath>
          <m:acc>
            <m:accPr>
              <m:ctrlPr>
                <w:rPr>
                  <w:rFonts w:ascii="Cambria Math" w:hAnsi="Cambria Math"/>
                </w:rPr>
              </m:ctrlPr>
            </m:accPr>
            <m:e>
              <m:r>
                <w:rPr>
                  <w:rFonts w:ascii="Cambria Math" w:hAnsi="Cambria Math"/>
                </w:rPr>
                <m:t>V</m:t>
              </m:r>
            </m:e>
          </m:acc>
          <m:r>
            <m:rPr>
              <m:sty m:val="p"/>
            </m:rPr>
            <w:rPr>
              <w:rFonts w:ascii="Cambria Math" w:hAnsi="Cambria Math"/>
            </w:rPr>
            <m:t>=</m:t>
          </m:r>
          <m:r>
            <w:rPr>
              <w:rFonts w:ascii="Cambria Math" w:hAnsi="Cambria Math"/>
            </w:rPr>
            <m:t>M</m:t>
          </m:r>
          <m:r>
            <m:rPr>
              <m:sty m:val="p"/>
            </m:rPr>
            <w:rPr>
              <w:rFonts w:ascii="Cambria Math" w:hAnsi="Cambria Math"/>
            </w:rPr>
            <m:t>+S</m:t>
          </m:r>
          <m:d>
            <m:dPr>
              <m:ctrlPr>
                <w:rPr>
                  <w:rFonts w:ascii="Cambria Math" w:hAnsi="Cambria Math"/>
                </w:rPr>
              </m:ctrlPr>
            </m:dPr>
            <m:e>
              <m:f>
                <m:fPr>
                  <m:ctrlPr>
                    <w:rPr>
                      <w:rFonts w:ascii="Cambria Math" w:hAnsi="Cambria Math"/>
                      <w:i/>
                    </w:rPr>
                  </m:ctrlPr>
                </m:fPr>
                <m:num>
                  <m:r>
                    <w:rPr>
                      <w:rFonts w:ascii="Cambria Math" w:hAnsi="Cambria Math"/>
                    </w:rPr>
                    <m:t>V-M</m:t>
                  </m:r>
                </m:num>
                <m:den>
                  <m:r>
                    <w:rPr>
                      <w:rFonts w:ascii="Cambria Math" w:hAnsi="Cambria Math"/>
                    </w:rPr>
                    <m:t>S+2c</m:t>
                  </m:r>
                </m:den>
              </m:f>
            </m:e>
          </m:d>
        </m:oMath>
      </m:oMathPara>
    </w:p>
    <w:p w:rsidR="004E72E5" w:rsidRDefault="004E72E5" w:rsidP="00091302">
      <w:pPr>
        <w:pStyle w:val="CommentText"/>
      </w:pPr>
    </w:p>
  </w:comment>
  <w:comment w:id="11" w:author="Larry Harris" w:date="2013-08-28T09:31:00Z" w:initials="LEH">
    <w:p w:rsidR="004E72E5" w:rsidRDefault="004E72E5" w:rsidP="00091302">
      <w:pPr>
        <w:pStyle w:val="BodyText"/>
      </w:pPr>
      <w:r>
        <w:rPr>
          <w:rStyle w:val="CommentReference"/>
        </w:rPr>
        <w:annotationRef/>
      </w:r>
      <m:oMath>
        <m:r>
          <m:rPr>
            <m:sty m:val="p"/>
          </m:rPr>
          <w:rPr>
            <w:rFonts w:ascii="Cambria Math" w:hAnsi="Cambria Math"/>
          </w:rPr>
          <w:br/>
        </m:r>
      </m:oMath>
      <m:oMathPara>
        <m:oMath>
          <m:acc>
            <m:accPr>
              <m:ctrlPr>
                <w:rPr>
                  <w:rFonts w:ascii="Cambria Math" w:hAnsi="Cambria Math"/>
                </w:rPr>
              </m:ctrlPr>
            </m:accPr>
            <m:e>
              <m:r>
                <w:rPr>
                  <w:rFonts w:ascii="Cambria Math" w:hAnsi="Cambria Math"/>
                </w:rPr>
                <m:t>V</m:t>
              </m:r>
            </m:e>
          </m:acc>
          <m:r>
            <m:rPr>
              <m:sty m:val="p"/>
            </m:rPr>
            <w:rPr>
              <w:rFonts w:ascii="Cambria Math" w:hAnsi="Cambria Math"/>
            </w:rPr>
            <m:t>-V=</m:t>
          </m:r>
          <m:r>
            <w:rPr>
              <w:rFonts w:ascii="Cambria Math" w:hAnsi="Cambria Math"/>
            </w:rPr>
            <m:t>M-V</m:t>
          </m:r>
          <m:r>
            <m:rPr>
              <m:sty m:val="p"/>
            </m:rPr>
            <w:rPr>
              <w:rFonts w:ascii="Cambria Math" w:hAnsi="Cambria Math"/>
            </w:rPr>
            <m:t>+S</m:t>
          </m:r>
          <m:d>
            <m:dPr>
              <m:ctrlPr>
                <w:rPr>
                  <w:rFonts w:ascii="Cambria Math" w:hAnsi="Cambria Math"/>
                </w:rPr>
              </m:ctrlPr>
            </m:dPr>
            <m:e>
              <m:f>
                <m:fPr>
                  <m:ctrlPr>
                    <w:rPr>
                      <w:rFonts w:ascii="Cambria Math" w:hAnsi="Cambria Math"/>
                      <w:i/>
                    </w:rPr>
                  </m:ctrlPr>
                </m:fPr>
                <m:num>
                  <m:r>
                    <w:rPr>
                      <w:rFonts w:ascii="Cambria Math" w:hAnsi="Cambria Math"/>
                    </w:rPr>
                    <m:t>V-M</m:t>
                  </m:r>
                </m:num>
                <m:den>
                  <m:r>
                    <w:rPr>
                      <w:rFonts w:ascii="Cambria Math" w:hAnsi="Cambria Math"/>
                    </w:rPr>
                    <m:t>S+2c</m:t>
                  </m:r>
                </m:den>
              </m:f>
            </m:e>
          </m:d>
          <m:r>
            <w:rPr>
              <w:rFonts w:ascii="Cambria Math" w:hAnsi="Cambria Math"/>
            </w:rPr>
            <m:t>=</m:t>
          </m:r>
          <m:d>
            <m:dPr>
              <m:ctrlPr>
                <w:rPr>
                  <w:rFonts w:ascii="Cambria Math" w:hAnsi="Cambria Math"/>
                  <w:i/>
                </w:rPr>
              </m:ctrlPr>
            </m:dPr>
            <m:e>
              <m:r>
                <w:rPr>
                  <w:rFonts w:ascii="Cambria Math" w:hAnsi="Cambria Math"/>
                </w:rPr>
                <m:t>M-V</m:t>
              </m:r>
            </m:e>
          </m:d>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S</m:t>
                  </m:r>
                </m:num>
                <m:den>
                  <m:r>
                    <w:rPr>
                      <w:rFonts w:ascii="Cambria Math" w:hAnsi="Cambria Math"/>
                    </w:rPr>
                    <m:t>S+2c</m:t>
                  </m:r>
                </m:den>
              </m:f>
            </m:e>
          </m:d>
          <m:r>
            <w:rPr>
              <w:rFonts w:ascii="Cambria Math" w:hAnsi="Cambria Math"/>
            </w:rPr>
            <m:t>=</m:t>
          </m:r>
          <m:d>
            <m:dPr>
              <m:ctrlPr>
                <w:rPr>
                  <w:rFonts w:ascii="Cambria Math" w:hAnsi="Cambria Math"/>
                  <w:i/>
                </w:rPr>
              </m:ctrlPr>
            </m:dPr>
            <m:e>
              <m:r>
                <w:rPr>
                  <w:rFonts w:ascii="Cambria Math" w:hAnsi="Cambria Math"/>
                </w:rPr>
                <m:t>M-V</m:t>
              </m:r>
            </m:e>
          </m:d>
          <m:d>
            <m:dPr>
              <m:ctrlPr>
                <w:rPr>
                  <w:rFonts w:ascii="Cambria Math" w:hAnsi="Cambria Math"/>
                  <w:i/>
                </w:rPr>
              </m:ctrlPr>
            </m:dPr>
            <m:e>
              <m:f>
                <m:fPr>
                  <m:ctrlPr>
                    <w:rPr>
                      <w:rFonts w:ascii="Cambria Math" w:hAnsi="Cambria Math"/>
                      <w:i/>
                    </w:rPr>
                  </m:ctrlPr>
                </m:fPr>
                <m:num>
                  <m:r>
                    <w:rPr>
                      <w:rFonts w:ascii="Cambria Math" w:hAnsi="Cambria Math"/>
                    </w:rPr>
                    <m:t>2c</m:t>
                  </m:r>
                </m:num>
                <m:den>
                  <m:r>
                    <w:rPr>
                      <w:rFonts w:ascii="Cambria Math" w:hAnsi="Cambria Math"/>
                    </w:rPr>
                    <m:t>S+2c</m:t>
                  </m:r>
                </m:den>
              </m:f>
            </m:e>
          </m:d>
        </m:oMath>
      </m:oMathPara>
    </w:p>
    <w:p w:rsidR="004E72E5" w:rsidRDefault="004E72E5" w:rsidP="00091302">
      <w:pPr>
        <w:pStyle w:val="BodyText"/>
      </w:pPr>
    </w:p>
  </w:comment>
  <w:comment w:id="12" w:author="Larry Harris" w:date="2013-08-28T13:37:00Z" w:initials="LEH">
    <w:p w:rsidR="004E72E5" w:rsidRDefault="004E72E5" w:rsidP="00544214">
      <w:r>
        <w:rPr>
          <w:rStyle w:val="CommentReference"/>
        </w:rPr>
        <w:annotationRef/>
      </w:r>
      <w:r>
        <w:t>We can now check the computation of the bounds:</w:t>
      </w:r>
    </w:p>
    <w:p w:rsidR="004E72E5" w:rsidRDefault="004E72E5" w:rsidP="00544214">
      <w:r>
        <w:t xml:space="preserve">From </w:t>
      </w:r>
    </w:p>
    <w:p w:rsidR="004E72E5" w:rsidRDefault="00C67A10" w:rsidP="00544214">
      <m:oMathPara>
        <m:oMath>
          <m:acc>
            <m:accPr>
              <m:ctrlPr>
                <w:rPr>
                  <w:rFonts w:ascii="Cambria Math" w:hAnsi="Cambria Math"/>
                </w:rPr>
              </m:ctrlPr>
            </m:accPr>
            <m:e>
              <m:r>
                <w:rPr>
                  <w:rFonts w:ascii="Cambria Math" w:hAnsi="Cambria Math"/>
                </w:rPr>
                <m:t>V</m:t>
              </m:r>
            </m:e>
          </m:acc>
          <m:r>
            <m:rPr>
              <m:sty m:val="p"/>
            </m:rPr>
            <w:rPr>
              <w:rFonts w:ascii="Cambria Math" w:hAnsi="Cambria Math"/>
            </w:rPr>
            <m:t>=</m:t>
          </m:r>
          <m:r>
            <w:rPr>
              <w:rFonts w:ascii="Cambria Math" w:hAnsi="Cambria Math"/>
            </w:rPr>
            <m:t>M</m:t>
          </m:r>
          <m:r>
            <m:rPr>
              <m:sty m:val="p"/>
            </m:rPr>
            <w:rPr>
              <w:rFonts w:ascii="Cambria Math" w:hAnsi="Cambria Math"/>
            </w:rPr>
            <m:t>+S</m:t>
          </m:r>
          <m:d>
            <m:dPr>
              <m:ctrlPr>
                <w:rPr>
                  <w:rFonts w:ascii="Cambria Math" w:hAnsi="Cambria Math"/>
                </w:rPr>
              </m:ctrlPr>
            </m:dPr>
            <m:e>
              <m:f>
                <m:fPr>
                  <m:ctrlPr>
                    <w:rPr>
                      <w:rFonts w:ascii="Cambria Math" w:hAnsi="Cambria Math"/>
                      <w:i/>
                    </w:rPr>
                  </m:ctrlPr>
                </m:fPr>
                <m:num>
                  <m:r>
                    <w:rPr>
                      <w:rFonts w:ascii="Cambria Math" w:hAnsi="Cambria Math"/>
                    </w:rPr>
                    <m:t>V-M</m:t>
                  </m:r>
                </m:num>
                <m:den>
                  <m:r>
                    <w:rPr>
                      <w:rFonts w:ascii="Cambria Math" w:hAnsi="Cambria Math"/>
                    </w:rPr>
                    <m:t>S+2c</m:t>
                  </m:r>
                </m:den>
              </m:f>
            </m:e>
          </m:d>
        </m:oMath>
      </m:oMathPara>
    </w:p>
    <w:p w:rsidR="004E72E5" w:rsidRDefault="004E72E5" w:rsidP="00544214">
      <w:pPr>
        <w:pStyle w:val="BodyText"/>
      </w:pPr>
      <w:proofErr w:type="gramStart"/>
      <w:r>
        <w:t>we</w:t>
      </w:r>
      <w:proofErr w:type="gramEnd"/>
      <w:r>
        <w:t xml:space="preserve"> can imply </w:t>
      </w:r>
      <m:oMath>
        <m:r>
          <w:rPr>
            <w:rFonts w:ascii="Cambria Math" w:hAnsi="Cambria Math"/>
          </w:rPr>
          <m:t>V</m:t>
        </m:r>
      </m:oMath>
      <w:r>
        <w:t xml:space="preserve"> for the bounds</w:t>
      </w:r>
      <m:oMath>
        <m:r>
          <m:rPr>
            <m:sty m:val="p"/>
          </m:rPr>
          <w:rPr>
            <w:rFonts w:ascii="Cambria Math" w:hAnsi="Cambria Math"/>
          </w:rPr>
          <w:br/>
        </m:r>
      </m:oMath>
      <m:oMathPara>
        <m:oMath>
          <m:acc>
            <m:accPr>
              <m:ctrlPr>
                <w:rPr>
                  <w:rFonts w:ascii="Cambria Math" w:hAnsi="Cambria Math"/>
                </w:rPr>
              </m:ctrlPr>
            </m:accPr>
            <m:e>
              <m:r>
                <w:rPr>
                  <w:rFonts w:ascii="Cambria Math" w:hAnsi="Cambria Math"/>
                </w:rPr>
                <m:t>V</m:t>
              </m:r>
            </m:e>
          </m:acc>
          <m:r>
            <m:rPr>
              <m:sty m:val="p"/>
            </m:rPr>
            <w:rPr>
              <w:rFonts w:ascii="Cambria Math" w:hAnsi="Cambria Math"/>
            </w:rPr>
            <m:t>=</m:t>
          </m:r>
          <m:r>
            <w:rPr>
              <w:rFonts w:ascii="Cambria Math" w:hAnsi="Cambria Math"/>
            </w:rPr>
            <m:t>M</m:t>
          </m:r>
          <m:r>
            <m:rPr>
              <m:sty m:val="p"/>
            </m:rPr>
            <w:rPr>
              <w:rFonts w:ascii="Cambria Math" w:hAnsi="Cambria Math"/>
            </w:rPr>
            <m:t>±</m:t>
          </m:r>
          <m:f>
            <m:fPr>
              <m:ctrlPr>
                <w:rPr>
                  <w:rFonts w:ascii="Cambria Math" w:hAnsi="Cambria Math"/>
                </w:rPr>
              </m:ctrlPr>
            </m:fPr>
            <m:num>
              <m:sSup>
                <m:sSupPr>
                  <m:ctrlPr>
                    <w:rPr>
                      <w:rFonts w:ascii="Cambria Math" w:hAnsi="Cambria Math"/>
                      <w:i/>
                    </w:rPr>
                  </m:ctrlPr>
                </m:sSupPr>
                <m:e>
                  <m:r>
                    <w:rPr>
                      <w:rFonts w:ascii="Cambria Math" w:hAnsi="Cambria Math"/>
                    </w:rPr>
                    <m:t>S</m:t>
                  </m:r>
                </m:e>
                <m:sup>
                  <m:r>
                    <w:rPr>
                      <w:rFonts w:ascii="Cambria Math" w:hAnsi="Cambria Math"/>
                    </w:rPr>
                    <m:t>2</m:t>
                  </m:r>
                </m:sup>
              </m:sSup>
            </m:num>
            <m:den>
              <m:r>
                <m:rPr>
                  <m:sty m:val="p"/>
                </m:rPr>
                <w:rPr>
                  <w:rFonts w:ascii="Cambria Math" w:hAnsi="Cambria Math"/>
                </w:rPr>
                <m:t>2</m:t>
              </m:r>
              <m:d>
                <m:dPr>
                  <m:ctrlPr>
                    <w:rPr>
                      <w:rFonts w:ascii="Cambria Math" w:hAnsi="Cambria Math"/>
                    </w:rPr>
                  </m:ctrlPr>
                </m:dPr>
                <m:e>
                  <m:r>
                    <m:rPr>
                      <m:sty m:val="p"/>
                    </m:rPr>
                    <w:rPr>
                      <w:rFonts w:ascii="Cambria Math" w:hAnsi="Cambria Math"/>
                    </w:rPr>
                    <m:t>S+2c</m:t>
                  </m:r>
                </m:e>
              </m:d>
            </m:den>
          </m:f>
        </m:oMath>
      </m:oMathPara>
    </w:p>
    <w:p w:rsidR="004E72E5" w:rsidRDefault="004E72E5" w:rsidP="00544214">
      <m:oMathPara>
        <m:oMath>
          <m:r>
            <w:rPr>
              <w:rFonts w:ascii="Cambria Math" w:hAnsi="Cambria Math"/>
            </w:rPr>
            <m:t>M</m:t>
          </m:r>
          <m:r>
            <m:rPr>
              <m:sty m:val="p"/>
            </m:rPr>
            <w:rPr>
              <w:rFonts w:ascii="Cambria Math" w:hAnsi="Cambria Math"/>
            </w:rPr>
            <m:t>±</m:t>
          </m:r>
          <m:f>
            <m:fPr>
              <m:ctrlPr>
                <w:rPr>
                  <w:rFonts w:ascii="Cambria Math" w:hAnsi="Cambria Math"/>
                </w:rPr>
              </m:ctrlPr>
            </m:fPr>
            <m:num>
              <m:sSup>
                <m:sSupPr>
                  <m:ctrlPr>
                    <w:rPr>
                      <w:rFonts w:ascii="Cambria Math" w:hAnsi="Cambria Math"/>
                      <w:i/>
                    </w:rPr>
                  </m:ctrlPr>
                </m:sSupPr>
                <m:e>
                  <m:r>
                    <w:rPr>
                      <w:rFonts w:ascii="Cambria Math" w:hAnsi="Cambria Math"/>
                    </w:rPr>
                    <m:t>S</m:t>
                  </m:r>
                </m:e>
                <m:sup>
                  <m:r>
                    <w:rPr>
                      <w:rFonts w:ascii="Cambria Math" w:hAnsi="Cambria Math"/>
                    </w:rPr>
                    <m:t>2</m:t>
                  </m:r>
                </m:sup>
              </m:sSup>
            </m:num>
            <m:den>
              <m:r>
                <m:rPr>
                  <m:sty m:val="p"/>
                </m:rPr>
                <w:rPr>
                  <w:rFonts w:ascii="Cambria Math" w:hAnsi="Cambria Math"/>
                </w:rPr>
                <m:t>2</m:t>
              </m:r>
              <m:d>
                <m:dPr>
                  <m:ctrlPr>
                    <w:rPr>
                      <w:rFonts w:ascii="Cambria Math" w:hAnsi="Cambria Math"/>
                    </w:rPr>
                  </m:ctrlPr>
                </m:dPr>
                <m:e>
                  <m:r>
                    <m:rPr>
                      <m:sty m:val="p"/>
                    </m:rPr>
                    <w:rPr>
                      <w:rFonts w:ascii="Cambria Math" w:hAnsi="Cambria Math"/>
                    </w:rPr>
                    <m:t>S+2c</m:t>
                  </m:r>
                </m:e>
              </m:d>
            </m:den>
          </m:f>
          <m:r>
            <w:rPr>
              <w:rFonts w:ascii="Cambria Math" w:hAnsi="Cambria Math"/>
            </w:rPr>
            <m:t>=M</m:t>
          </m:r>
          <m:r>
            <m:rPr>
              <m:sty m:val="p"/>
            </m:rPr>
            <w:rPr>
              <w:rFonts w:ascii="Cambria Math" w:hAnsi="Cambria Math"/>
            </w:rPr>
            <m:t>+S</m:t>
          </m:r>
          <m:d>
            <m:dPr>
              <m:ctrlPr>
                <w:rPr>
                  <w:rFonts w:ascii="Cambria Math" w:hAnsi="Cambria Math"/>
                </w:rPr>
              </m:ctrlPr>
            </m:dPr>
            <m:e>
              <m:f>
                <m:fPr>
                  <m:ctrlPr>
                    <w:rPr>
                      <w:rFonts w:ascii="Cambria Math" w:hAnsi="Cambria Math"/>
                      <w:i/>
                    </w:rPr>
                  </m:ctrlPr>
                </m:fPr>
                <m:num>
                  <m:r>
                    <w:rPr>
                      <w:rFonts w:ascii="Cambria Math" w:hAnsi="Cambria Math"/>
                    </w:rPr>
                    <m:t>V-M</m:t>
                  </m:r>
                </m:num>
                <m:den>
                  <m:r>
                    <w:rPr>
                      <w:rFonts w:ascii="Cambria Math" w:hAnsi="Cambria Math"/>
                    </w:rPr>
                    <m:t>S+2c</m:t>
                  </m:r>
                </m:den>
              </m:f>
            </m:e>
          </m:d>
        </m:oMath>
      </m:oMathPara>
    </w:p>
    <w:p w:rsidR="004E72E5" w:rsidRDefault="004E72E5" w:rsidP="00544214">
      <m:oMathPara>
        <m:oMath>
          <m:r>
            <m:rPr>
              <m:sty m:val="p"/>
            </m:rPr>
            <w:rPr>
              <w:rFonts w:ascii="Cambria Math" w:hAnsi="Cambria Math"/>
            </w:rPr>
            <m:t>±</m:t>
          </m:r>
          <m:f>
            <m:fPr>
              <m:ctrlPr>
                <w:rPr>
                  <w:rFonts w:ascii="Cambria Math" w:hAnsi="Cambria Math"/>
                </w:rPr>
              </m:ctrlPr>
            </m:fPr>
            <m:num>
              <m:r>
                <w:rPr>
                  <w:rFonts w:ascii="Cambria Math" w:hAnsi="Cambria Math"/>
                </w:rPr>
                <m:t>S</m:t>
              </m:r>
            </m:num>
            <m:den>
              <m:r>
                <m:rPr>
                  <m:sty m:val="p"/>
                </m:rPr>
                <w:rPr>
                  <w:rFonts w:ascii="Cambria Math" w:hAnsi="Cambria Math"/>
                </w:rPr>
                <m:t>2</m:t>
              </m:r>
            </m:den>
          </m:f>
          <m:r>
            <w:rPr>
              <w:rFonts w:ascii="Cambria Math" w:hAnsi="Cambria Math"/>
            </w:rPr>
            <m:t>=</m:t>
          </m:r>
          <m:d>
            <m:dPr>
              <m:ctrlPr>
                <w:rPr>
                  <w:rFonts w:ascii="Cambria Math" w:hAnsi="Cambria Math"/>
                </w:rPr>
              </m:ctrlPr>
            </m:dPr>
            <m:e>
              <m:f>
                <m:fPr>
                  <m:ctrlPr>
                    <w:rPr>
                      <w:rFonts w:ascii="Cambria Math" w:hAnsi="Cambria Math"/>
                      <w:i/>
                    </w:rPr>
                  </m:ctrlPr>
                </m:fPr>
                <m:num>
                  <m:r>
                    <w:rPr>
                      <w:rFonts w:ascii="Cambria Math" w:hAnsi="Cambria Math"/>
                    </w:rPr>
                    <m:t>V-M</m:t>
                  </m:r>
                </m:num>
                <m:den>
                  <m:r>
                    <w:rPr>
                      <w:rFonts w:ascii="Cambria Math" w:hAnsi="Cambria Math"/>
                    </w:rPr>
                    <m:t>1</m:t>
                  </m:r>
                </m:den>
              </m:f>
            </m:e>
          </m:d>
        </m:oMath>
      </m:oMathPara>
    </w:p>
    <w:p w:rsidR="004E72E5" w:rsidRDefault="004E72E5" w:rsidP="00544214">
      <m:oMathPara>
        <m:oMath>
          <m:r>
            <w:rPr>
              <w:rFonts w:ascii="Cambria Math" w:hAnsi="Cambria Math"/>
            </w:rPr>
            <m:t>V=M</m:t>
          </m:r>
          <m:r>
            <m:rPr>
              <m:sty m:val="p"/>
            </m:rPr>
            <w:rPr>
              <w:rFonts w:ascii="Cambria Math" w:hAnsi="Cambria Math"/>
            </w:rPr>
            <m:t>±</m:t>
          </m:r>
          <m:f>
            <m:fPr>
              <m:ctrlPr>
                <w:rPr>
                  <w:rFonts w:ascii="Cambria Math" w:hAnsi="Cambria Math"/>
                </w:rPr>
              </m:ctrlPr>
            </m:fPr>
            <m:num>
              <m:r>
                <w:rPr>
                  <w:rFonts w:ascii="Cambria Math" w:hAnsi="Cambria Math"/>
                </w:rPr>
                <m:t>S</m:t>
              </m:r>
            </m:num>
            <m:den>
              <m:r>
                <m:rPr>
                  <m:sty m:val="p"/>
                </m:rPr>
                <w:rPr>
                  <w:rFonts w:ascii="Cambria Math" w:hAnsi="Cambria Math"/>
                </w:rPr>
                <m:t>2</m:t>
              </m:r>
            </m:den>
          </m:f>
        </m:oMath>
      </m:oMathPara>
    </w:p>
    <w:p w:rsidR="004E72E5" w:rsidRDefault="004E72E5" w:rsidP="00544214">
      <m:oMath>
        <m:r>
          <w:rPr>
            <w:rFonts w:ascii="Cambria Math" w:hAnsi="Cambria Math"/>
          </w:rPr>
          <m:t>V=Bid</m:t>
        </m:r>
      </m:oMath>
      <w:r>
        <w:t xml:space="preserve"> </w:t>
      </w:r>
      <w:proofErr w:type="gramStart"/>
      <w:r>
        <w:t xml:space="preserve">or </w:t>
      </w:r>
      <w:proofErr w:type="gramEnd"/>
      <m:oMath>
        <m:r>
          <w:rPr>
            <w:rFonts w:ascii="Cambria Math" w:hAnsi="Cambria Math"/>
          </w:rPr>
          <m:t>V=Ask</m:t>
        </m:r>
      </m:oMath>
      <w:r>
        <w:t xml:space="preserve">, which is correct. </w:t>
      </w:r>
    </w:p>
    <w:p w:rsidR="004E72E5" w:rsidRDefault="004E72E5" w:rsidP="00544214">
      <w:pPr>
        <w:pStyle w:val="CommentText"/>
      </w:pPr>
    </w:p>
  </w:comment>
  <w:comment w:id="13" w:author="Larry Harris" w:date="2013-08-28T09:31:00Z" w:initials="LEH">
    <w:p w:rsidR="004E72E5" w:rsidRDefault="004E72E5" w:rsidP="00091302">
      <w:pPr>
        <w:pStyle w:val="BodyText"/>
      </w:pPr>
      <w:r>
        <w:rPr>
          <w:rStyle w:val="CommentReference"/>
        </w:rPr>
        <w:annotationRef/>
      </w:r>
      <m:oMath>
        <m:r>
          <m:rPr>
            <m:sty m:val="p"/>
          </m:rPr>
          <w:rPr>
            <w:rFonts w:ascii="Cambria Math" w:hAnsi="Cambria Math"/>
          </w:rPr>
          <w:br/>
        </m:r>
      </m:oMath>
      <m:oMathPara>
        <m:oMath>
          <m:acc>
            <m:accPr>
              <m:ctrlPr>
                <w:rPr>
                  <w:rFonts w:ascii="Cambria Math" w:hAnsi="Cambria Math"/>
                </w:rPr>
              </m:ctrlPr>
            </m:accPr>
            <m:e>
              <m:r>
                <w:rPr>
                  <w:rFonts w:ascii="Cambria Math" w:hAnsi="Cambria Math"/>
                </w:rPr>
                <m:t>V</m:t>
              </m:r>
            </m:e>
          </m:acc>
          <m:r>
            <m:rPr>
              <m:sty m:val="p"/>
            </m:rPr>
            <w:rPr>
              <w:rFonts w:ascii="Cambria Math" w:hAnsi="Cambria Math"/>
            </w:rPr>
            <m:t>=</m:t>
          </m:r>
          <m:r>
            <w:rPr>
              <w:rFonts w:ascii="Cambria Math" w:hAnsi="Cambria Math"/>
            </w:rPr>
            <m:t>M</m:t>
          </m:r>
          <m:r>
            <m:rPr>
              <m:sty m:val="p"/>
            </m:rPr>
            <w:rPr>
              <w:rFonts w:ascii="Cambria Math" w:hAnsi="Cambria Math"/>
            </w:rPr>
            <m:t>+S</m:t>
          </m:r>
          <m:d>
            <m:dPr>
              <m:ctrlPr>
                <w:rPr>
                  <w:rFonts w:ascii="Cambria Math" w:hAnsi="Cambria Math"/>
                </w:rPr>
              </m:ctrlPr>
            </m:dPr>
            <m:e>
              <m:f>
                <m:fPr>
                  <m:ctrlPr>
                    <w:rPr>
                      <w:rFonts w:ascii="Cambria Math" w:hAnsi="Cambria Math"/>
                      <w:i/>
                    </w:rPr>
                  </m:ctrlPr>
                </m:fPr>
                <m:num>
                  <m:r>
                    <w:rPr>
                      <w:rFonts w:ascii="Cambria Math" w:hAnsi="Cambria Math"/>
                    </w:rPr>
                    <m:t>V-M</m:t>
                  </m:r>
                </m:num>
                <m:den>
                  <m:r>
                    <w:rPr>
                      <w:rFonts w:ascii="Cambria Math" w:hAnsi="Cambria Math"/>
                    </w:rPr>
                    <m:t>S+2c</m:t>
                  </m:r>
                </m:den>
              </m:f>
            </m:e>
          </m:d>
        </m:oMath>
      </m:oMathPara>
    </w:p>
    <w:p w:rsidR="004E72E5" w:rsidRDefault="00C67A10" w:rsidP="00091302">
      <w:pPr>
        <w:pStyle w:val="BodyText"/>
        <w:rPr>
          <w:i/>
        </w:rPr>
      </w:pPr>
      <m:oMathPara>
        <m:oMath>
          <m:d>
            <m:dPr>
              <m:ctrlPr>
                <w:rPr>
                  <w:rFonts w:ascii="Cambria Math" w:hAnsi="Cambria Math"/>
                  <w:i/>
                </w:rPr>
              </m:ctrlPr>
            </m:dPr>
            <m:e>
              <m:acc>
                <m:accPr>
                  <m:ctrlPr>
                    <w:rPr>
                      <w:rFonts w:ascii="Cambria Math" w:hAnsi="Cambria Math"/>
                      <w:i/>
                    </w:rPr>
                  </m:ctrlPr>
                </m:accPr>
                <m:e>
                  <m:r>
                    <w:rPr>
                      <w:rFonts w:ascii="Cambria Math" w:hAnsi="Cambria Math"/>
                    </w:rPr>
                    <m:t>V</m:t>
                  </m:r>
                </m:e>
              </m:acc>
              <m:r>
                <w:rPr>
                  <w:rFonts w:ascii="Cambria Math" w:hAnsi="Cambria Math"/>
                </w:rPr>
                <m:t>-M</m:t>
              </m:r>
            </m:e>
          </m:d>
          <m:f>
            <m:fPr>
              <m:ctrlPr>
                <w:rPr>
                  <w:rFonts w:ascii="Cambria Math" w:hAnsi="Cambria Math"/>
                  <w:i/>
                </w:rPr>
              </m:ctrlPr>
            </m:fPr>
            <m:num>
              <m:d>
                <m:dPr>
                  <m:ctrlPr>
                    <w:rPr>
                      <w:rFonts w:ascii="Cambria Math" w:hAnsi="Cambria Math"/>
                      <w:i/>
                    </w:rPr>
                  </m:ctrlPr>
                </m:dPr>
                <m:e>
                  <m:r>
                    <w:rPr>
                      <w:rFonts w:ascii="Cambria Math" w:hAnsi="Cambria Math"/>
                    </w:rPr>
                    <m:t>S+2c</m:t>
                  </m:r>
                </m:e>
              </m:d>
            </m:num>
            <m:den>
              <m:r>
                <w:rPr>
                  <w:rFonts w:ascii="Cambria Math" w:hAnsi="Cambria Math"/>
                </w:rPr>
                <m:t>S</m:t>
              </m:r>
            </m:den>
          </m:f>
          <m:r>
            <w:rPr>
              <w:rFonts w:ascii="Cambria Math" w:hAnsi="Cambria Math"/>
            </w:rPr>
            <m:t xml:space="preserve"> =V-M</m:t>
          </m:r>
        </m:oMath>
      </m:oMathPara>
    </w:p>
    <w:p w:rsidR="004E72E5" w:rsidRDefault="004E72E5" w:rsidP="00091302">
      <w:pPr>
        <w:pStyle w:val="BodyText"/>
        <w:rPr>
          <w:i/>
        </w:rPr>
      </w:pPr>
      <m:oMathPara>
        <m:oMath>
          <m:r>
            <w:rPr>
              <w:rFonts w:ascii="Cambria Math" w:hAnsi="Cambria Math"/>
            </w:rPr>
            <m:t>V=M+</m:t>
          </m:r>
          <m:d>
            <m:dPr>
              <m:ctrlPr>
                <w:rPr>
                  <w:rFonts w:ascii="Cambria Math" w:hAnsi="Cambria Math"/>
                  <w:i/>
                </w:rPr>
              </m:ctrlPr>
            </m:dPr>
            <m:e>
              <m:acc>
                <m:accPr>
                  <m:ctrlPr>
                    <w:rPr>
                      <w:rFonts w:ascii="Cambria Math" w:hAnsi="Cambria Math"/>
                      <w:i/>
                    </w:rPr>
                  </m:ctrlPr>
                </m:accPr>
                <m:e>
                  <m:r>
                    <w:rPr>
                      <w:rFonts w:ascii="Cambria Math" w:hAnsi="Cambria Math"/>
                    </w:rPr>
                    <m:t>V</m:t>
                  </m:r>
                </m:e>
              </m:acc>
              <m:r>
                <w:rPr>
                  <w:rFonts w:ascii="Cambria Math" w:hAnsi="Cambria Math"/>
                </w:rPr>
                <m:t>-M</m:t>
              </m:r>
            </m:e>
          </m:d>
          <m:f>
            <m:fPr>
              <m:ctrlPr>
                <w:rPr>
                  <w:rFonts w:ascii="Cambria Math" w:hAnsi="Cambria Math"/>
                  <w:i/>
                </w:rPr>
              </m:ctrlPr>
            </m:fPr>
            <m:num>
              <m:d>
                <m:dPr>
                  <m:ctrlPr>
                    <w:rPr>
                      <w:rFonts w:ascii="Cambria Math" w:hAnsi="Cambria Math"/>
                      <w:i/>
                    </w:rPr>
                  </m:ctrlPr>
                </m:dPr>
                <m:e>
                  <m:r>
                    <w:rPr>
                      <w:rFonts w:ascii="Cambria Math" w:hAnsi="Cambria Math"/>
                    </w:rPr>
                    <m:t>S+2c</m:t>
                  </m:r>
                </m:e>
              </m:d>
            </m:num>
            <m:den>
              <m:r>
                <w:rPr>
                  <w:rFonts w:ascii="Cambria Math" w:hAnsi="Cambria Math"/>
                </w:rPr>
                <m:t>S</m:t>
              </m:r>
            </m:den>
          </m:f>
        </m:oMath>
      </m:oMathPara>
    </w:p>
    <w:p w:rsidR="004E72E5" w:rsidRDefault="004E72E5" w:rsidP="00091302">
      <w:pPr>
        <w:pStyle w:val="CommentText"/>
      </w:pPr>
    </w:p>
  </w:comment>
  <w:comment w:id="14" w:author="Larry Harris" w:date="2013-08-28T09:31:00Z" w:initials="LEH">
    <w:p w:rsidR="004E72E5" w:rsidRDefault="004E72E5" w:rsidP="00091302">
      <w:pPr>
        <w:pStyle w:val="BodyText"/>
      </w:pPr>
      <w:r>
        <w:rPr>
          <w:rStyle w:val="CommentReference"/>
        </w:rPr>
        <w:annotationRef/>
      </w:r>
      <m:oMath>
        <m:r>
          <m:rPr>
            <m:sty m:val="p"/>
          </m:rPr>
          <w:rPr>
            <w:rFonts w:ascii="Cambria Math" w:hAnsi="Cambria Math"/>
          </w:rPr>
          <w:br/>
        </m:r>
      </m:oMath>
      <m:oMathPara>
        <m:oMath>
          <m:r>
            <w:rPr>
              <w:rFonts w:ascii="Cambria Math" w:hAnsi="Cambria Math"/>
            </w:rPr>
            <m:t>M-</m:t>
          </m:r>
          <m:f>
            <m:fPr>
              <m:ctrlPr>
                <w:rPr>
                  <w:rFonts w:ascii="Cambria Math" w:hAnsi="Cambria Math"/>
                  <w:i/>
                </w:rPr>
              </m:ctrlPr>
            </m:fPr>
            <m:num>
              <m:r>
                <w:rPr>
                  <w:rFonts w:ascii="Cambria Math" w:hAnsi="Cambria Math"/>
                </w:rPr>
                <m:t>S</m:t>
              </m:r>
            </m:num>
            <m:den>
              <m:r>
                <w:rPr>
                  <w:rFonts w:ascii="Cambria Math" w:hAnsi="Cambria Math"/>
                </w:rPr>
                <m:t>2</m:t>
              </m:r>
            </m:den>
          </m:f>
          <m:r>
            <w:rPr>
              <w:rFonts w:ascii="Cambria Math" w:hAnsi="Cambria Math"/>
            </w:rPr>
            <m:t>+c≤V≤M+</m:t>
          </m:r>
          <m:f>
            <m:fPr>
              <m:ctrlPr>
                <w:rPr>
                  <w:rFonts w:ascii="Cambria Math" w:hAnsi="Cambria Math"/>
                  <w:i/>
                </w:rPr>
              </m:ctrlPr>
            </m:fPr>
            <m:num>
              <m:r>
                <w:rPr>
                  <w:rFonts w:ascii="Cambria Math" w:hAnsi="Cambria Math"/>
                </w:rPr>
                <m:t>S</m:t>
              </m:r>
            </m:num>
            <m:den>
              <m:r>
                <w:rPr>
                  <w:rFonts w:ascii="Cambria Math" w:hAnsi="Cambria Math"/>
                </w:rPr>
                <m:t>2</m:t>
              </m:r>
            </m:den>
          </m:f>
          <m:r>
            <w:rPr>
              <w:rFonts w:ascii="Cambria Math" w:hAnsi="Cambria Math"/>
            </w:rPr>
            <m:t>-c</m:t>
          </m:r>
        </m:oMath>
      </m:oMathPara>
    </w:p>
    <w:p w:rsidR="004E72E5" w:rsidRDefault="004E72E5" w:rsidP="00091302">
      <w:pPr>
        <w:pStyle w:val="BodyText"/>
      </w:pPr>
      <m:oMathPara>
        <m:oMath>
          <m:r>
            <w:rPr>
              <w:rFonts w:ascii="Cambria Math" w:hAnsi="Cambria Math"/>
            </w:rPr>
            <m:t>-</m:t>
          </m:r>
          <m:f>
            <m:fPr>
              <m:ctrlPr>
                <w:rPr>
                  <w:rFonts w:ascii="Cambria Math" w:hAnsi="Cambria Math"/>
                  <w:i/>
                </w:rPr>
              </m:ctrlPr>
            </m:fPr>
            <m:num>
              <m:r>
                <w:rPr>
                  <w:rFonts w:ascii="Cambria Math" w:hAnsi="Cambria Math"/>
                </w:rPr>
                <m:t>S</m:t>
              </m:r>
            </m:num>
            <m:den>
              <m:r>
                <w:rPr>
                  <w:rFonts w:ascii="Cambria Math" w:hAnsi="Cambria Math"/>
                </w:rPr>
                <m:t>2</m:t>
              </m:r>
            </m:den>
          </m:f>
          <m:r>
            <w:rPr>
              <w:rFonts w:ascii="Cambria Math" w:hAnsi="Cambria Math"/>
            </w:rPr>
            <m:t>+c≤</m:t>
          </m:r>
          <m:d>
            <m:dPr>
              <m:ctrlPr>
                <w:rPr>
                  <w:rFonts w:ascii="Cambria Math" w:hAnsi="Cambria Math"/>
                  <w:i/>
                </w:rPr>
              </m:ctrlPr>
            </m:dPr>
            <m:e>
              <m:acc>
                <m:accPr>
                  <m:ctrlPr>
                    <w:rPr>
                      <w:rFonts w:ascii="Cambria Math" w:hAnsi="Cambria Math"/>
                      <w:i/>
                    </w:rPr>
                  </m:ctrlPr>
                </m:accPr>
                <m:e>
                  <m:r>
                    <w:rPr>
                      <w:rFonts w:ascii="Cambria Math" w:hAnsi="Cambria Math"/>
                    </w:rPr>
                    <m:t>V</m:t>
                  </m:r>
                </m:e>
              </m:acc>
              <m:r>
                <w:rPr>
                  <w:rFonts w:ascii="Cambria Math" w:hAnsi="Cambria Math"/>
                </w:rPr>
                <m:t>-M</m:t>
              </m:r>
            </m:e>
          </m:d>
          <m:f>
            <m:fPr>
              <m:ctrlPr>
                <w:rPr>
                  <w:rFonts w:ascii="Cambria Math" w:hAnsi="Cambria Math"/>
                  <w:i/>
                </w:rPr>
              </m:ctrlPr>
            </m:fPr>
            <m:num>
              <m:d>
                <m:dPr>
                  <m:ctrlPr>
                    <w:rPr>
                      <w:rFonts w:ascii="Cambria Math" w:hAnsi="Cambria Math"/>
                      <w:i/>
                    </w:rPr>
                  </m:ctrlPr>
                </m:dPr>
                <m:e>
                  <m:r>
                    <w:rPr>
                      <w:rFonts w:ascii="Cambria Math" w:hAnsi="Cambria Math"/>
                    </w:rPr>
                    <m:t>S+2c</m:t>
                  </m:r>
                </m:e>
              </m:d>
            </m:num>
            <m:den>
              <m:r>
                <w:rPr>
                  <w:rFonts w:ascii="Cambria Math" w:hAnsi="Cambria Math"/>
                </w:rPr>
                <m:t>S</m:t>
              </m:r>
            </m:den>
          </m:f>
          <m:r>
            <w:rPr>
              <w:rFonts w:ascii="Cambria Math" w:hAnsi="Cambria Math"/>
            </w:rPr>
            <m:t>≤+</m:t>
          </m:r>
          <m:f>
            <m:fPr>
              <m:ctrlPr>
                <w:rPr>
                  <w:rFonts w:ascii="Cambria Math" w:hAnsi="Cambria Math"/>
                  <w:i/>
                </w:rPr>
              </m:ctrlPr>
            </m:fPr>
            <m:num>
              <m:r>
                <w:rPr>
                  <w:rFonts w:ascii="Cambria Math" w:hAnsi="Cambria Math"/>
                </w:rPr>
                <m:t>S</m:t>
              </m:r>
            </m:num>
            <m:den>
              <m:r>
                <w:rPr>
                  <w:rFonts w:ascii="Cambria Math" w:hAnsi="Cambria Math"/>
                </w:rPr>
                <m:t>2</m:t>
              </m:r>
            </m:den>
          </m:f>
          <m:r>
            <w:rPr>
              <w:rFonts w:ascii="Cambria Math" w:hAnsi="Cambria Math"/>
            </w:rPr>
            <m:t>-c</m:t>
          </m:r>
        </m:oMath>
      </m:oMathPara>
    </w:p>
    <w:p w:rsidR="004E72E5" w:rsidRDefault="00C67A10" w:rsidP="00091302">
      <w:pPr>
        <w:pStyle w:val="BodyText"/>
      </w:pPr>
      <m:oMathPara>
        <m:oMath>
          <m:f>
            <m:fPr>
              <m:ctrlPr>
                <w:rPr>
                  <w:rFonts w:ascii="Cambria Math" w:hAnsi="Cambria Math"/>
                  <w:i/>
                </w:rPr>
              </m:ctrlPr>
            </m:fPr>
            <m:num>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S</m:t>
                      </m:r>
                    </m:num>
                    <m:den>
                      <m:r>
                        <w:rPr>
                          <w:rFonts w:ascii="Cambria Math" w:hAnsi="Cambria Math"/>
                        </w:rPr>
                        <m:t>2</m:t>
                      </m:r>
                    </m:den>
                  </m:f>
                  <m:r>
                    <w:rPr>
                      <w:rFonts w:ascii="Cambria Math" w:hAnsi="Cambria Math"/>
                    </w:rPr>
                    <m:t>+c</m:t>
                  </m:r>
                </m:e>
              </m:d>
              <m:r>
                <w:rPr>
                  <w:rFonts w:ascii="Cambria Math" w:hAnsi="Cambria Math"/>
                </w:rPr>
                <m:t>S</m:t>
              </m:r>
            </m:num>
            <m:den>
              <m:r>
                <w:rPr>
                  <w:rFonts w:ascii="Cambria Math" w:hAnsi="Cambria Math"/>
                </w:rPr>
                <m:t>S+2c</m:t>
              </m:r>
            </m:den>
          </m:f>
          <m:r>
            <w:rPr>
              <w:rFonts w:ascii="Cambria Math" w:hAnsi="Cambria Math"/>
            </w:rPr>
            <m:t>≤</m:t>
          </m:r>
          <m:d>
            <m:dPr>
              <m:ctrlPr>
                <w:rPr>
                  <w:rFonts w:ascii="Cambria Math" w:hAnsi="Cambria Math"/>
                  <w:i/>
                </w:rPr>
              </m:ctrlPr>
            </m:dPr>
            <m:e>
              <m:acc>
                <m:accPr>
                  <m:ctrlPr>
                    <w:rPr>
                      <w:rFonts w:ascii="Cambria Math" w:hAnsi="Cambria Math"/>
                      <w:i/>
                    </w:rPr>
                  </m:ctrlPr>
                </m:accPr>
                <m:e>
                  <m:r>
                    <w:rPr>
                      <w:rFonts w:ascii="Cambria Math" w:hAnsi="Cambria Math"/>
                    </w:rPr>
                    <m:t>V</m:t>
                  </m:r>
                </m:e>
              </m:acc>
              <m:r>
                <w:rPr>
                  <w:rFonts w:ascii="Cambria Math" w:hAnsi="Cambria Math"/>
                </w:rPr>
                <m:t>-M</m:t>
              </m:r>
            </m:e>
          </m:d>
          <m:r>
            <w:rPr>
              <w:rFonts w:ascii="Cambria Math" w:hAnsi="Cambria Math"/>
            </w:rPr>
            <m:t>≤</m:t>
          </m:r>
          <m:f>
            <m:fPr>
              <m:ctrlPr>
                <w:rPr>
                  <w:rFonts w:ascii="Cambria Math" w:hAnsi="Cambria Math"/>
                  <w:i/>
                </w:rPr>
              </m:ctrlPr>
            </m:fPr>
            <m:num>
              <m:d>
                <m:dPr>
                  <m:ctrlPr>
                    <w:rPr>
                      <w:rFonts w:ascii="Cambria Math" w:hAnsi="Cambria Math"/>
                      <w:i/>
                    </w:rPr>
                  </m:ctrlPr>
                </m:dPr>
                <m:e>
                  <m:f>
                    <m:fPr>
                      <m:ctrlPr>
                        <w:rPr>
                          <w:rFonts w:ascii="Cambria Math" w:hAnsi="Cambria Math"/>
                          <w:i/>
                        </w:rPr>
                      </m:ctrlPr>
                    </m:fPr>
                    <m:num>
                      <m:r>
                        <w:rPr>
                          <w:rFonts w:ascii="Cambria Math" w:hAnsi="Cambria Math"/>
                        </w:rPr>
                        <m:t>S</m:t>
                      </m:r>
                    </m:num>
                    <m:den>
                      <m:r>
                        <w:rPr>
                          <w:rFonts w:ascii="Cambria Math" w:hAnsi="Cambria Math"/>
                        </w:rPr>
                        <m:t>2</m:t>
                      </m:r>
                    </m:den>
                  </m:f>
                  <m:r>
                    <w:rPr>
                      <w:rFonts w:ascii="Cambria Math" w:hAnsi="Cambria Math"/>
                    </w:rPr>
                    <m:t>-c</m:t>
                  </m:r>
                </m:e>
              </m:d>
              <m:r>
                <w:rPr>
                  <w:rFonts w:ascii="Cambria Math" w:hAnsi="Cambria Math"/>
                </w:rPr>
                <m:t>S</m:t>
              </m:r>
            </m:num>
            <m:den>
              <m:r>
                <w:rPr>
                  <w:rFonts w:ascii="Cambria Math" w:hAnsi="Cambria Math"/>
                </w:rPr>
                <m:t>S+2c</m:t>
              </m:r>
            </m:den>
          </m:f>
        </m:oMath>
      </m:oMathPara>
    </w:p>
    <w:p w:rsidR="004E72E5" w:rsidRDefault="004E72E5" w:rsidP="00091302">
      <w:pPr>
        <w:pStyle w:val="BodyText"/>
      </w:pPr>
      <m:oMathPara>
        <m:oMath>
          <m:r>
            <w:rPr>
              <w:rFonts w:ascii="Cambria Math" w:hAnsi="Cambria Math"/>
            </w:rPr>
            <m:t>M-</m:t>
          </m:r>
          <m:f>
            <m:fPr>
              <m:ctrlPr>
                <w:rPr>
                  <w:rFonts w:ascii="Cambria Math" w:hAnsi="Cambria Math"/>
                  <w:i/>
                </w:rPr>
              </m:ctrlPr>
            </m:fPr>
            <m:num>
              <m:d>
                <m:dPr>
                  <m:ctrlPr>
                    <w:rPr>
                      <w:rFonts w:ascii="Cambria Math" w:hAnsi="Cambria Math"/>
                      <w:i/>
                    </w:rPr>
                  </m:ctrlPr>
                </m:dPr>
                <m:e>
                  <m:f>
                    <m:fPr>
                      <m:ctrlPr>
                        <w:rPr>
                          <w:rFonts w:ascii="Cambria Math" w:hAnsi="Cambria Math"/>
                          <w:i/>
                        </w:rPr>
                      </m:ctrlPr>
                    </m:fPr>
                    <m:num>
                      <m:r>
                        <w:rPr>
                          <w:rFonts w:ascii="Cambria Math" w:hAnsi="Cambria Math"/>
                        </w:rPr>
                        <m:t>S</m:t>
                      </m:r>
                    </m:num>
                    <m:den>
                      <m:r>
                        <w:rPr>
                          <w:rFonts w:ascii="Cambria Math" w:hAnsi="Cambria Math"/>
                        </w:rPr>
                        <m:t>2</m:t>
                      </m:r>
                    </m:den>
                  </m:f>
                  <m:r>
                    <w:rPr>
                      <w:rFonts w:ascii="Cambria Math" w:hAnsi="Cambria Math"/>
                    </w:rPr>
                    <m:t>-c</m:t>
                  </m:r>
                </m:e>
              </m:d>
              <m:r>
                <w:rPr>
                  <w:rFonts w:ascii="Cambria Math" w:hAnsi="Cambria Math"/>
                </w:rPr>
                <m:t>S</m:t>
              </m:r>
            </m:num>
            <m:den>
              <m:r>
                <w:rPr>
                  <w:rFonts w:ascii="Cambria Math" w:hAnsi="Cambria Math"/>
                </w:rPr>
                <m:t>S+2c</m:t>
              </m:r>
            </m:den>
          </m:f>
          <m:r>
            <w:rPr>
              <w:rFonts w:ascii="Cambria Math" w:hAnsi="Cambria Math"/>
            </w:rPr>
            <m:t>≤</m:t>
          </m:r>
          <m:acc>
            <m:accPr>
              <m:ctrlPr>
                <w:rPr>
                  <w:rFonts w:ascii="Cambria Math" w:hAnsi="Cambria Math"/>
                  <w:i/>
                </w:rPr>
              </m:ctrlPr>
            </m:accPr>
            <m:e>
              <m:r>
                <w:rPr>
                  <w:rFonts w:ascii="Cambria Math" w:hAnsi="Cambria Math"/>
                </w:rPr>
                <m:t>V</m:t>
              </m:r>
            </m:e>
          </m:acc>
          <m:r>
            <w:rPr>
              <w:rFonts w:ascii="Cambria Math" w:hAnsi="Cambria Math"/>
            </w:rPr>
            <m:t>≤M+</m:t>
          </m:r>
          <m:f>
            <m:fPr>
              <m:ctrlPr>
                <w:rPr>
                  <w:rFonts w:ascii="Cambria Math" w:hAnsi="Cambria Math"/>
                  <w:i/>
                </w:rPr>
              </m:ctrlPr>
            </m:fPr>
            <m:num>
              <m:d>
                <m:dPr>
                  <m:ctrlPr>
                    <w:rPr>
                      <w:rFonts w:ascii="Cambria Math" w:hAnsi="Cambria Math"/>
                      <w:i/>
                    </w:rPr>
                  </m:ctrlPr>
                </m:dPr>
                <m:e>
                  <m:f>
                    <m:fPr>
                      <m:ctrlPr>
                        <w:rPr>
                          <w:rFonts w:ascii="Cambria Math" w:hAnsi="Cambria Math"/>
                          <w:i/>
                        </w:rPr>
                      </m:ctrlPr>
                    </m:fPr>
                    <m:num>
                      <m:r>
                        <w:rPr>
                          <w:rFonts w:ascii="Cambria Math" w:hAnsi="Cambria Math"/>
                        </w:rPr>
                        <m:t>S</m:t>
                      </m:r>
                    </m:num>
                    <m:den>
                      <m:r>
                        <w:rPr>
                          <w:rFonts w:ascii="Cambria Math" w:hAnsi="Cambria Math"/>
                        </w:rPr>
                        <m:t>2</m:t>
                      </m:r>
                    </m:den>
                  </m:f>
                  <m:r>
                    <w:rPr>
                      <w:rFonts w:ascii="Cambria Math" w:hAnsi="Cambria Math"/>
                    </w:rPr>
                    <m:t>-c</m:t>
                  </m:r>
                </m:e>
              </m:d>
              <m:r>
                <w:rPr>
                  <w:rFonts w:ascii="Cambria Math" w:hAnsi="Cambria Math"/>
                </w:rPr>
                <m:t>S</m:t>
              </m:r>
            </m:num>
            <m:den>
              <m:r>
                <w:rPr>
                  <w:rFonts w:ascii="Cambria Math" w:hAnsi="Cambria Math"/>
                </w:rPr>
                <m:t>S+2c</m:t>
              </m:r>
            </m:den>
          </m:f>
        </m:oMath>
      </m:oMathPara>
    </w:p>
    <w:p w:rsidR="004E72E5" w:rsidRDefault="004E72E5" w:rsidP="00091302">
      <w:pPr>
        <w:pStyle w:val="BodyText"/>
      </w:pPr>
      <m:oMathPara>
        <m:oMath>
          <m:r>
            <w:rPr>
              <w:rFonts w:ascii="Cambria Math" w:hAnsi="Cambria Math"/>
            </w:rPr>
            <m:t>M-</m:t>
          </m:r>
          <m:f>
            <m:fPr>
              <m:ctrlPr>
                <w:rPr>
                  <w:rFonts w:ascii="Cambria Math" w:hAnsi="Cambria Math"/>
                  <w:i/>
                </w:rPr>
              </m:ctrlPr>
            </m:fPr>
            <m:num>
              <m:r>
                <w:rPr>
                  <w:rFonts w:ascii="Cambria Math" w:hAnsi="Cambria Math"/>
                </w:rPr>
                <m:t>S</m:t>
              </m:r>
            </m:num>
            <m:den>
              <m:r>
                <w:rPr>
                  <w:rFonts w:ascii="Cambria Math" w:hAnsi="Cambria Math"/>
                </w:rPr>
                <m:t>2</m:t>
              </m:r>
            </m:den>
          </m:f>
          <m:d>
            <m:dPr>
              <m:ctrlPr>
                <w:rPr>
                  <w:rFonts w:ascii="Cambria Math" w:hAnsi="Cambria Math"/>
                  <w:i/>
                </w:rPr>
              </m:ctrlPr>
            </m:dPr>
            <m:e>
              <m:f>
                <m:fPr>
                  <m:ctrlPr>
                    <w:rPr>
                      <w:rFonts w:ascii="Cambria Math" w:hAnsi="Cambria Math"/>
                      <w:i/>
                    </w:rPr>
                  </m:ctrlPr>
                </m:fPr>
                <m:num>
                  <m:r>
                    <w:rPr>
                      <w:rFonts w:ascii="Cambria Math" w:hAnsi="Cambria Math"/>
                    </w:rPr>
                    <m:t>S-2c</m:t>
                  </m:r>
                </m:num>
                <m:den>
                  <m:r>
                    <w:rPr>
                      <w:rFonts w:ascii="Cambria Math" w:hAnsi="Cambria Math"/>
                    </w:rPr>
                    <m:t>S+2c</m:t>
                  </m:r>
                </m:den>
              </m:f>
            </m:e>
          </m:d>
          <m:r>
            <w:rPr>
              <w:rFonts w:ascii="Cambria Math" w:hAnsi="Cambria Math"/>
            </w:rPr>
            <m:t>≤</m:t>
          </m:r>
          <m:acc>
            <m:accPr>
              <m:ctrlPr>
                <w:rPr>
                  <w:rFonts w:ascii="Cambria Math" w:hAnsi="Cambria Math"/>
                  <w:i/>
                </w:rPr>
              </m:ctrlPr>
            </m:accPr>
            <m:e>
              <m:r>
                <w:rPr>
                  <w:rFonts w:ascii="Cambria Math" w:hAnsi="Cambria Math"/>
                </w:rPr>
                <m:t>V</m:t>
              </m:r>
            </m:e>
          </m:acc>
          <m:r>
            <w:rPr>
              <w:rFonts w:ascii="Cambria Math" w:hAnsi="Cambria Math"/>
            </w:rPr>
            <m:t>≤M+</m:t>
          </m:r>
          <m:f>
            <m:fPr>
              <m:ctrlPr>
                <w:rPr>
                  <w:rFonts w:ascii="Cambria Math" w:hAnsi="Cambria Math"/>
                  <w:i/>
                </w:rPr>
              </m:ctrlPr>
            </m:fPr>
            <m:num>
              <m:r>
                <w:rPr>
                  <w:rFonts w:ascii="Cambria Math" w:hAnsi="Cambria Math"/>
                </w:rPr>
                <m:t>S</m:t>
              </m:r>
            </m:num>
            <m:den>
              <m:r>
                <w:rPr>
                  <w:rFonts w:ascii="Cambria Math" w:hAnsi="Cambria Math"/>
                </w:rPr>
                <m:t>2</m:t>
              </m:r>
            </m:den>
          </m:f>
          <m:d>
            <m:dPr>
              <m:ctrlPr>
                <w:rPr>
                  <w:rFonts w:ascii="Cambria Math" w:hAnsi="Cambria Math"/>
                  <w:i/>
                </w:rPr>
              </m:ctrlPr>
            </m:dPr>
            <m:e>
              <m:f>
                <m:fPr>
                  <m:ctrlPr>
                    <w:rPr>
                      <w:rFonts w:ascii="Cambria Math" w:hAnsi="Cambria Math"/>
                      <w:i/>
                    </w:rPr>
                  </m:ctrlPr>
                </m:fPr>
                <m:num>
                  <m:r>
                    <w:rPr>
                      <w:rFonts w:ascii="Cambria Math" w:hAnsi="Cambria Math"/>
                    </w:rPr>
                    <m:t>S-2c</m:t>
                  </m:r>
                </m:num>
                <m:den>
                  <m:r>
                    <w:rPr>
                      <w:rFonts w:ascii="Cambria Math" w:hAnsi="Cambria Math"/>
                    </w:rPr>
                    <m:t>S+2c</m:t>
                  </m:r>
                </m:den>
              </m:f>
            </m:e>
          </m:d>
        </m:oMath>
      </m:oMathPara>
    </w:p>
    <w:p w:rsidR="004E72E5" w:rsidRDefault="004E72E5" w:rsidP="00091302">
      <w:pPr>
        <w:pStyle w:val="BodyText"/>
      </w:pPr>
    </w:p>
  </w:comment>
  <w:comment w:id="15" w:author="Larry Harris" w:date="2013-08-18T07:17:00Z" w:initials="leh">
    <w:p w:rsidR="004E72E5" w:rsidRDefault="004E72E5" w:rsidP="00DE4AA0">
      <w:pPr>
        <w:pStyle w:val="BodyText"/>
      </w:pPr>
      <w:r>
        <w:rPr>
          <w:rStyle w:val="CommentReference"/>
        </w:rPr>
        <w:annotationRef/>
      </w:r>
      <w:r w:rsidRPr="00FD2391">
        <w:t xml:space="preserve"> </w:t>
      </w:r>
      <w:r>
        <w:t xml:space="preserve">A simulation showed that the following text is not correct: </w:t>
      </w:r>
    </w:p>
    <w:p w:rsidR="004E72E5" w:rsidRDefault="004E72E5" w:rsidP="00DE4AA0">
      <w:pPr>
        <w:pStyle w:val="BodyText"/>
      </w:pPr>
    </w:p>
    <w:p w:rsidR="004E72E5" w:rsidRDefault="004E72E5" w:rsidP="00DE4AA0">
      <w:pPr>
        <w:pStyle w:val="BodyText"/>
      </w:pPr>
      <w:r>
        <w:t xml:space="preserve">Before considering the implications of such quote-change models, consider the simplest possible model to analyze:  Suppose that for a given </w:t>
      </w:r>
      <m:oMath>
        <m:r>
          <w:rPr>
            <w:rFonts w:ascii="Cambria Math" w:hAnsi="Cambria Math"/>
          </w:rPr>
          <m:t>V</m:t>
        </m:r>
      </m:oMath>
      <w:r>
        <w:t xml:space="preserve"> in the </w:t>
      </w:r>
      <w:proofErr w:type="gramStart"/>
      <w:r>
        <w:t xml:space="preserve">range </w:t>
      </w:r>
      <w:proofErr w:type="gramEnd"/>
      <m:oMath>
        <m:d>
          <m:dPr>
            <m:begChr m:val="["/>
            <m:endChr m:val="]"/>
            <m:ctrlPr>
              <w:rPr>
                <w:rFonts w:ascii="Cambria Math" w:hAnsi="Cambria Math"/>
                <w:i/>
              </w:rPr>
            </m:ctrlPr>
          </m:dPr>
          <m:e>
            <m:r>
              <w:rPr>
                <w:rFonts w:ascii="Cambria Math" w:hAnsi="Cambria Math"/>
              </w:rPr>
              <m:t>Ask-c,Ask+c</m:t>
            </m:r>
          </m:e>
        </m:d>
      </m:oMath>
      <w:r>
        <w:t xml:space="preserve">, the probabilities that the market is </w:t>
      </w:r>
      <m:oMath>
        <m:d>
          <m:dPr>
            <m:begChr m:val="["/>
            <m:endChr m:val="]"/>
            <m:ctrlPr>
              <w:rPr>
                <w:rFonts w:ascii="Cambria Math" w:hAnsi="Cambria Math"/>
                <w:i/>
              </w:rPr>
            </m:ctrlPr>
          </m:dPr>
          <m:e>
            <m:r>
              <w:rPr>
                <w:rFonts w:ascii="Cambria Math" w:hAnsi="Cambria Math"/>
              </w:rPr>
              <m:t>Bid,Ask</m:t>
            </m:r>
          </m:e>
        </m:d>
      </m:oMath>
      <w:r>
        <w:t xml:space="preserve"> or </w:t>
      </w:r>
      <m:oMath>
        <m:d>
          <m:dPr>
            <m:begChr m:val="["/>
            <m:endChr m:val="]"/>
            <m:ctrlPr>
              <w:rPr>
                <w:rFonts w:ascii="Cambria Math" w:hAnsi="Cambria Math"/>
                <w:i/>
              </w:rPr>
            </m:ctrlPr>
          </m:dPr>
          <m:e>
            <m:r>
              <w:rPr>
                <w:rFonts w:ascii="Cambria Math" w:hAnsi="Cambria Math"/>
              </w:rPr>
              <m:t>Bid+1,Ask+1</m:t>
            </m:r>
          </m:e>
        </m:d>
      </m:oMath>
      <w:r>
        <w:t xml:space="preserve"> are equal.  Likewise, suppose that for a given </w:t>
      </w:r>
      <m:oMath>
        <m:r>
          <w:rPr>
            <w:rFonts w:ascii="Cambria Math" w:hAnsi="Cambria Math"/>
          </w:rPr>
          <m:t>V</m:t>
        </m:r>
      </m:oMath>
      <w:r>
        <w:t xml:space="preserve"> in the </w:t>
      </w:r>
      <w:proofErr w:type="gramStart"/>
      <w:r>
        <w:t xml:space="preserve">range </w:t>
      </w:r>
      <w:proofErr w:type="gramEnd"/>
      <m:oMath>
        <m:d>
          <m:dPr>
            <m:begChr m:val="["/>
            <m:endChr m:val="]"/>
            <m:ctrlPr>
              <w:rPr>
                <w:rFonts w:ascii="Cambria Math" w:hAnsi="Cambria Math"/>
                <w:i/>
              </w:rPr>
            </m:ctrlPr>
          </m:dPr>
          <m:e>
            <m:r>
              <w:rPr>
                <w:rFonts w:ascii="Cambria Math" w:hAnsi="Cambria Math"/>
              </w:rPr>
              <m:t>Bid-c,Bid+c</m:t>
            </m:r>
          </m:e>
        </m:d>
      </m:oMath>
      <w:r>
        <w:t xml:space="preserve">, the probabilities that the market is </w:t>
      </w:r>
      <m:oMath>
        <m:d>
          <m:dPr>
            <m:begChr m:val="["/>
            <m:endChr m:val="]"/>
            <m:ctrlPr>
              <w:rPr>
                <w:rFonts w:ascii="Cambria Math" w:hAnsi="Cambria Math"/>
                <w:i/>
              </w:rPr>
            </m:ctrlPr>
          </m:dPr>
          <m:e>
            <m:r>
              <w:rPr>
                <w:rFonts w:ascii="Cambria Math" w:hAnsi="Cambria Math"/>
              </w:rPr>
              <m:t>Bid,Ask</m:t>
            </m:r>
          </m:e>
        </m:d>
      </m:oMath>
      <w:r>
        <w:t xml:space="preserve"> or </w:t>
      </w:r>
      <m:oMath>
        <m:d>
          <m:dPr>
            <m:begChr m:val="["/>
            <m:endChr m:val="]"/>
            <m:ctrlPr>
              <w:rPr>
                <w:rFonts w:ascii="Cambria Math" w:hAnsi="Cambria Math"/>
                <w:i/>
              </w:rPr>
            </m:ctrlPr>
          </m:dPr>
          <m:e>
            <m:r>
              <w:rPr>
                <w:rFonts w:ascii="Cambria Math" w:hAnsi="Cambria Math"/>
              </w:rPr>
              <m:t>Bid-1,Ask-1</m:t>
            </m:r>
          </m:e>
        </m:d>
      </m:oMath>
      <w:r>
        <w:t xml:space="preserve"> are equal.  In which case, half of the uniform density of </w:t>
      </w:r>
      <m:oMath>
        <m:r>
          <w:rPr>
            <w:rFonts w:ascii="Cambria Math" w:hAnsi="Cambria Math"/>
          </w:rPr>
          <m:t>V</m:t>
        </m:r>
      </m:oMath>
      <w:r>
        <w:t xml:space="preserve"> in the range </w:t>
      </w:r>
      <m:oMath>
        <m:d>
          <m:dPr>
            <m:begChr m:val="["/>
            <m:endChr m:val="]"/>
            <m:ctrlPr>
              <w:rPr>
                <w:rFonts w:ascii="Cambria Math" w:hAnsi="Cambria Math"/>
                <w:i/>
              </w:rPr>
            </m:ctrlPr>
          </m:dPr>
          <m:e>
            <m:r>
              <w:rPr>
                <w:rFonts w:ascii="Cambria Math" w:hAnsi="Cambria Math"/>
              </w:rPr>
              <m:t>Ask-c,Ask+c</m:t>
            </m:r>
          </m:e>
        </m:d>
      </m:oMath>
      <w:r>
        <w:t xml:space="preserve"> will produce uniformly distributed values of </w:t>
      </w:r>
      <m:oMath>
        <m:r>
          <m:rPr>
            <m:sty m:val="p"/>
          </m:rPr>
          <w:rPr>
            <w:rFonts w:ascii="Cambria Math" w:hAnsi="Cambria Math"/>
          </w:rPr>
          <m:t>mod</m:t>
        </m:r>
        <m:d>
          <m:dPr>
            <m:ctrlPr>
              <w:rPr>
                <w:rFonts w:ascii="Cambria Math" w:hAnsi="Cambria Math"/>
                <w:i/>
              </w:rPr>
            </m:ctrlPr>
          </m:dPr>
          <m:e>
            <m:acc>
              <m:accPr>
                <m:ctrlPr>
                  <w:rPr>
                    <w:rFonts w:ascii="Cambria Math" w:hAnsi="Cambria Math"/>
                    <w:i/>
                  </w:rPr>
                </m:ctrlPr>
              </m:accPr>
              <m:e>
                <m:r>
                  <w:rPr>
                    <w:rFonts w:ascii="Cambria Math" w:hAnsi="Cambria Math"/>
                  </w:rPr>
                  <m:t>V</m:t>
                </m:r>
              </m:e>
            </m:acc>
            <m:r>
              <w:rPr>
                <w:rFonts w:ascii="Cambria Math" w:hAnsi="Cambria Math"/>
              </w:rPr>
              <m:t>,1¢</m:t>
            </m:r>
          </m:e>
        </m:d>
      </m:oMath>
      <w:r>
        <w:t xml:space="preserve"> values in the range </w:t>
      </w:r>
      <m:oMath>
        <m:d>
          <m:dPr>
            <m:begChr m:val="["/>
            <m:endChr m:val="]"/>
            <m:ctrlPr>
              <w:rPr>
                <w:rFonts w:ascii="Cambria Math" w:hAnsi="Cambria Math"/>
                <w:i/>
              </w:rPr>
            </m:ctrlPr>
          </m:dPr>
          <m:e>
            <m:r>
              <w:rPr>
                <w:rFonts w:ascii="Cambria Math" w:hAnsi="Cambria Math"/>
              </w:rPr>
              <m:t>0,M-</m:t>
            </m:r>
            <m:f>
              <m:fPr>
                <m:ctrlPr>
                  <w:rPr>
                    <w:rFonts w:ascii="Cambria Math" w:hAnsi="Cambria Math"/>
                    <w:i/>
                  </w:rPr>
                </m:ctrlPr>
              </m:fPr>
              <m:num>
                <m:r>
                  <w:rPr>
                    <w:rFonts w:ascii="Cambria Math" w:hAnsi="Cambria Math"/>
                  </w:rPr>
                  <m:t>0.5-c</m:t>
                </m:r>
              </m:num>
              <m:den>
                <m:r>
                  <w:rPr>
                    <w:rFonts w:ascii="Cambria Math" w:hAnsi="Cambria Math"/>
                  </w:rPr>
                  <m:t>1+2c</m:t>
                </m:r>
              </m:den>
            </m:f>
          </m:e>
        </m:d>
      </m:oMath>
      <w:r>
        <w:t xml:space="preserve"> and half will produce uniformly distributed values in the </w:t>
      </w:r>
      <w:proofErr w:type="gramStart"/>
      <w:r>
        <w:t xml:space="preserve">range </w:t>
      </w:r>
      <w:proofErr w:type="gramEnd"/>
      <m:oMath>
        <m:d>
          <m:dPr>
            <m:begChr m:val="["/>
            <m:endChr m:val="]"/>
            <m:ctrlPr>
              <w:rPr>
                <w:rFonts w:ascii="Cambria Math" w:hAnsi="Cambria Math"/>
                <w:i/>
              </w:rPr>
            </m:ctrlPr>
          </m:dPr>
          <m:e>
            <m:r>
              <w:rPr>
                <w:rFonts w:ascii="Cambria Math" w:hAnsi="Cambria Math"/>
              </w:rPr>
              <m:t>M+</m:t>
            </m:r>
            <m:f>
              <m:fPr>
                <m:ctrlPr>
                  <w:rPr>
                    <w:rFonts w:ascii="Cambria Math" w:hAnsi="Cambria Math"/>
                    <w:i/>
                  </w:rPr>
                </m:ctrlPr>
              </m:fPr>
              <m:num>
                <m:r>
                  <w:rPr>
                    <w:rFonts w:ascii="Cambria Math" w:hAnsi="Cambria Math"/>
                  </w:rPr>
                  <m:t>0.5-c</m:t>
                </m:r>
              </m:num>
              <m:den>
                <m:r>
                  <w:rPr>
                    <w:rFonts w:ascii="Cambria Math" w:hAnsi="Cambria Math"/>
                  </w:rPr>
                  <m:t>1+2c</m:t>
                </m:r>
              </m:den>
            </m:f>
            <m:r>
              <w:rPr>
                <w:rFonts w:ascii="Cambria Math" w:hAnsi="Cambria Math"/>
              </w:rPr>
              <m:t>,1</m:t>
            </m:r>
          </m:e>
        </m:d>
      </m:oMath>
      <w:r>
        <w:t xml:space="preserve">.  Likewise, half of the same sized uniform density of </w:t>
      </w:r>
      <m:oMath>
        <m:r>
          <w:rPr>
            <w:rFonts w:ascii="Cambria Math" w:hAnsi="Cambria Math"/>
          </w:rPr>
          <m:t>V</m:t>
        </m:r>
      </m:oMath>
      <w:r>
        <w:t xml:space="preserve"> in the range </w:t>
      </w:r>
      <m:oMath>
        <m:d>
          <m:dPr>
            <m:begChr m:val="["/>
            <m:endChr m:val="]"/>
            <m:ctrlPr>
              <w:rPr>
                <w:rFonts w:ascii="Cambria Math" w:hAnsi="Cambria Math"/>
                <w:i/>
              </w:rPr>
            </m:ctrlPr>
          </m:dPr>
          <m:e>
            <m:r>
              <w:rPr>
                <w:rFonts w:ascii="Cambria Math" w:hAnsi="Cambria Math"/>
              </w:rPr>
              <m:t>Bid-c,B</m:t>
            </m:r>
            <m:r>
              <w:rPr>
                <w:rFonts w:ascii="Cambria Math" w:hAnsi="Cambria Math"/>
              </w:rPr>
              <m:t>id+c</m:t>
            </m:r>
          </m:e>
        </m:d>
      </m:oMath>
      <w:r>
        <w:t xml:space="preserve"> will produce uniformly distributed values in the two ranges.  Thus under this very simple random assignment model, both tails of </w:t>
      </w:r>
      <m:oMath>
        <m:r>
          <m:rPr>
            <m:sty m:val="p"/>
          </m:rPr>
          <w:rPr>
            <w:rFonts w:ascii="Cambria Math" w:hAnsi="Cambria Math"/>
          </w:rPr>
          <m:t>mod</m:t>
        </m:r>
        <m:d>
          <m:dPr>
            <m:ctrlPr>
              <w:rPr>
                <w:rFonts w:ascii="Cambria Math" w:hAnsi="Cambria Math"/>
                <w:i/>
              </w:rPr>
            </m:ctrlPr>
          </m:dPr>
          <m:e>
            <m:acc>
              <m:accPr>
                <m:ctrlPr>
                  <w:rPr>
                    <w:rFonts w:ascii="Cambria Math" w:hAnsi="Cambria Math"/>
                    <w:i/>
                  </w:rPr>
                </m:ctrlPr>
              </m:accPr>
              <m:e>
                <m:r>
                  <w:rPr>
                    <w:rFonts w:ascii="Cambria Math" w:hAnsi="Cambria Math"/>
                  </w:rPr>
                  <m:t>V</m:t>
                </m:r>
              </m:e>
            </m:acc>
            <m:r>
              <w:rPr>
                <w:rFonts w:ascii="Cambria Math" w:hAnsi="Cambria Math"/>
              </w:rPr>
              <m:t>,1¢</m:t>
            </m:r>
          </m:e>
        </m:d>
      </m:oMath>
      <w:r>
        <w:t xml:space="preserve"> will be uniformly distributed.  </w:t>
      </w:r>
      <w:proofErr w:type="gramStart"/>
      <w:r>
        <w:t xml:space="preserve">For </w:t>
      </w:r>
      <w:proofErr w:type="gramEnd"/>
      <m:oMath>
        <m:r>
          <w:rPr>
            <w:rFonts w:ascii="Cambria Math" w:hAnsi="Cambria Math"/>
          </w:rPr>
          <m:t>c=0.3¢</m:t>
        </m:r>
      </m:oMath>
      <w:r>
        <w:t xml:space="preserve">, the total range of these tails is 0.75 over which 60% of the integrated density of V is uniformly spread.  The density of </w:t>
      </w:r>
      <m:oMath>
        <m:r>
          <m:rPr>
            <m:sty m:val="p"/>
          </m:rPr>
          <w:rPr>
            <w:rFonts w:ascii="Cambria Math" w:hAnsi="Cambria Math"/>
          </w:rPr>
          <m:t>mod</m:t>
        </m:r>
        <m:d>
          <m:dPr>
            <m:ctrlPr>
              <w:rPr>
                <w:rFonts w:ascii="Cambria Math" w:hAnsi="Cambria Math"/>
                <w:i/>
              </w:rPr>
            </m:ctrlPr>
          </m:dPr>
          <m:e>
            <m:acc>
              <m:accPr>
                <m:ctrlPr>
                  <w:rPr>
                    <w:rFonts w:ascii="Cambria Math" w:hAnsi="Cambria Math"/>
                    <w:i/>
                  </w:rPr>
                </m:ctrlPr>
              </m:accPr>
              <m:e>
                <m:r>
                  <w:rPr>
                    <w:rFonts w:ascii="Cambria Math" w:hAnsi="Cambria Math"/>
                  </w:rPr>
                  <m:t>V</m:t>
                </m:r>
              </m:e>
            </m:acc>
            <m:r>
              <w:rPr>
                <w:rFonts w:ascii="Cambria Math" w:hAnsi="Cambria Math"/>
              </w:rPr>
              <m:t>,1¢</m:t>
            </m:r>
          </m:e>
        </m:d>
      </m:oMath>
      <w:r>
        <w:t xml:space="preserve"> over these tails thus </w:t>
      </w:r>
      <w:proofErr w:type="gramStart"/>
      <w:r>
        <w:t xml:space="preserve">is </w:t>
      </w:r>
      <w:proofErr w:type="gramEnd"/>
      <m:oMath>
        <m:f>
          <m:fPr>
            <m:ctrlPr>
              <w:rPr>
                <w:rFonts w:ascii="Cambria Math" w:hAnsi="Cambria Math"/>
                <w:i/>
              </w:rPr>
            </m:ctrlPr>
          </m:fPr>
          <m:num>
            <m:r>
              <w:rPr>
                <w:rFonts w:ascii="Cambria Math" w:hAnsi="Cambria Math"/>
              </w:rPr>
              <m:t>0.60</m:t>
            </m:r>
          </m:num>
          <m:den>
            <m:r>
              <w:rPr>
                <w:rFonts w:ascii="Cambria Math" w:hAnsi="Cambria Math"/>
              </w:rPr>
              <m:t>0.75</m:t>
            </m:r>
          </m:den>
        </m:f>
        <m:r>
          <w:rPr>
            <w:rFonts w:ascii="Cambria Math" w:hAnsi="Cambria Math"/>
          </w:rPr>
          <m:t>=0.8</m:t>
        </m:r>
      </m:oMath>
      <w:r>
        <w:t xml:space="preserve">.  Figure 4 plots the entire distribution of </w:t>
      </w:r>
      <m:oMath>
        <m:r>
          <m:rPr>
            <m:sty m:val="p"/>
          </m:rPr>
          <w:rPr>
            <w:rFonts w:ascii="Cambria Math" w:hAnsi="Cambria Math"/>
          </w:rPr>
          <m:t>mod</m:t>
        </m:r>
        <m:d>
          <m:dPr>
            <m:ctrlPr>
              <w:rPr>
                <w:rFonts w:ascii="Cambria Math" w:hAnsi="Cambria Math"/>
                <w:i/>
              </w:rPr>
            </m:ctrlPr>
          </m:dPr>
          <m:e>
            <m:acc>
              <m:accPr>
                <m:ctrlPr>
                  <w:rPr>
                    <w:rFonts w:ascii="Cambria Math" w:hAnsi="Cambria Math"/>
                    <w:i/>
                  </w:rPr>
                </m:ctrlPr>
              </m:accPr>
              <m:e>
                <m:r>
                  <w:rPr>
                    <w:rFonts w:ascii="Cambria Math" w:hAnsi="Cambria Math"/>
                  </w:rPr>
                  <m:t>V</m:t>
                </m:r>
              </m:e>
            </m:acc>
            <m:r>
              <w:rPr>
                <w:rFonts w:ascii="Cambria Math" w:hAnsi="Cambria Math"/>
              </w:rPr>
              <m:t>,1¢</m:t>
            </m:r>
          </m:e>
        </m:d>
      </m:oMath>
      <w:r>
        <w:t xml:space="preserve"> given these assumptions.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2E5" w:rsidRDefault="004E72E5" w:rsidP="003C11E3">
      <w:r>
        <w:separator/>
      </w:r>
    </w:p>
  </w:endnote>
  <w:endnote w:type="continuationSeparator" w:id="0">
    <w:p w:rsidR="004E72E5" w:rsidRDefault="004E72E5" w:rsidP="003C1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593144"/>
      <w:docPartObj>
        <w:docPartGallery w:val="Page Numbers (Bottom of Page)"/>
        <w:docPartUnique/>
      </w:docPartObj>
    </w:sdtPr>
    <w:sdtEndPr>
      <w:rPr>
        <w:noProof/>
      </w:rPr>
    </w:sdtEndPr>
    <w:sdtContent>
      <w:p w:rsidR="004E72E5" w:rsidRDefault="004E72E5">
        <w:pPr>
          <w:pStyle w:val="Footer"/>
          <w:jc w:val="center"/>
        </w:pPr>
        <w:r>
          <w:fldChar w:fldCharType="begin"/>
        </w:r>
        <w:r>
          <w:instrText xml:space="preserve"> PAGE   \* MERGEFORMAT </w:instrText>
        </w:r>
        <w:r>
          <w:fldChar w:fldCharType="separate"/>
        </w:r>
        <w:r w:rsidR="00C67A10">
          <w:rPr>
            <w:noProof/>
          </w:rPr>
          <w:t>1</w:t>
        </w:r>
        <w:r>
          <w:rPr>
            <w:noProof/>
          </w:rPr>
          <w:fldChar w:fldCharType="end"/>
        </w:r>
      </w:p>
    </w:sdtContent>
  </w:sdt>
  <w:p w:rsidR="004E72E5" w:rsidRDefault="004E72E5">
    <w:pPr>
      <w:adjustRightInd w:val="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2E5" w:rsidRDefault="004E72E5" w:rsidP="003C11E3">
      <w:r>
        <w:separator/>
      </w:r>
    </w:p>
  </w:footnote>
  <w:footnote w:type="continuationSeparator" w:id="0">
    <w:p w:rsidR="004E72E5" w:rsidRDefault="004E72E5" w:rsidP="003C11E3">
      <w:r>
        <w:continuationSeparator/>
      </w:r>
    </w:p>
  </w:footnote>
  <w:footnote w:id="1">
    <w:p w:rsidR="004E72E5" w:rsidRDefault="004E72E5" w:rsidP="00097901">
      <w:pPr>
        <w:pStyle w:val="FootnoteText"/>
      </w:pPr>
      <w:r>
        <w:rPr>
          <w:rStyle w:val="FootnoteReference"/>
        </w:rPr>
        <w:footnoteRef/>
      </w:r>
      <w:r>
        <w:t xml:space="preserve"> See Table II of their study. </w:t>
      </w:r>
    </w:p>
  </w:footnote>
  <w:footnote w:id="2">
    <w:p w:rsidR="004E72E5" w:rsidRDefault="004E72E5">
      <w:pPr>
        <w:pStyle w:val="FootnoteText"/>
      </w:pPr>
      <w:r>
        <w:rPr>
          <w:rStyle w:val="FootnoteReference"/>
        </w:rPr>
        <w:footnoteRef/>
      </w:r>
      <w:r>
        <w:t xml:space="preserve"> See</w:t>
      </w:r>
      <w:r w:rsidRPr="00F81028">
        <w:t xml:space="preserve"> for example, Angel, Harris</w:t>
      </w:r>
      <w:r>
        <w:t>,</w:t>
      </w:r>
      <w:r w:rsidRPr="00F81028">
        <w:t xml:space="preserve"> and Spatt (2010</w:t>
      </w:r>
      <w:r>
        <w:t xml:space="preserve"> or 2013). </w:t>
      </w:r>
    </w:p>
  </w:footnote>
  <w:footnote w:id="3">
    <w:p w:rsidR="004E72E5" w:rsidRDefault="004E72E5" w:rsidP="0000494F">
      <w:pPr>
        <w:pStyle w:val="FootnoteText"/>
      </w:pPr>
      <w:r>
        <w:rPr>
          <w:rStyle w:val="FootnoteReference"/>
        </w:rPr>
        <w:footnoteRef/>
      </w:r>
      <w:r>
        <w:t xml:space="preserve"> To easily see that the average cost of taking is half the bid/ask spread, consider the total loss associated with the simultaneous submission of a small market buy order and an equal-sized market sell order.  The two trades will accomplish nothing except for the completion of a round-trip trade that loses the bid/ask spread for each share traded.  The cost per share of one trade thus is half of the bid/ask spread. </w:t>
      </w:r>
    </w:p>
  </w:footnote>
  <w:footnote w:id="4">
    <w:p w:rsidR="004E72E5" w:rsidRDefault="004E72E5">
      <w:pPr>
        <w:pStyle w:val="FootnoteText"/>
      </w:pPr>
      <w:r>
        <w:rPr>
          <w:rStyle w:val="FootnoteReference"/>
        </w:rPr>
        <w:footnoteRef/>
      </w:r>
      <w:r>
        <w:t xml:space="preserve"> See </w:t>
      </w:r>
      <w:proofErr w:type="spellStart"/>
      <w:r>
        <w:t>Bookstabbler</w:t>
      </w:r>
      <w:proofErr w:type="spellEnd"/>
      <w:r>
        <w:t xml:space="preserve"> (2007). </w:t>
      </w:r>
    </w:p>
  </w:footnote>
  <w:footnote w:id="5">
    <w:p w:rsidR="004E72E5" w:rsidRDefault="004E72E5">
      <w:pPr>
        <w:pStyle w:val="FootnoteText"/>
      </w:pPr>
      <w:r>
        <w:rPr>
          <w:rStyle w:val="FootnoteReference"/>
        </w:rPr>
        <w:footnoteRef/>
      </w:r>
      <w:r>
        <w:t xml:space="preserve"> See Schumer (2012).</w:t>
      </w:r>
    </w:p>
  </w:footnote>
  <w:footnote w:id="6">
    <w:p w:rsidR="004E72E5" w:rsidRDefault="004E72E5" w:rsidP="0000494F">
      <w:pPr>
        <w:pStyle w:val="FootnoteText"/>
      </w:pPr>
      <w:r>
        <w:rPr>
          <w:rStyle w:val="FootnoteReference"/>
        </w:rPr>
        <w:footnoteRef/>
      </w:r>
      <w:r>
        <w:t xml:space="preserve"> ECNs (Electronic Communications Networks) are a class of non-exchange electronic trading systems run by broker-dealers that the SEC permitted with the adoption of Regulation ATS.  Many of the surviving ECNs have since become exchanges.  Examples of successful early ECNs include Island ECN (later bought by Instinet, which was then bought by NASDAQ), Archipelago ECN (later bought by the Pacific Stock Exchange, which was then bought by the NYSE), and BATS ECN, which became the BATS Exchange in 2008. </w:t>
      </w:r>
    </w:p>
  </w:footnote>
  <w:footnote w:id="7">
    <w:p w:rsidR="004E72E5" w:rsidRDefault="004E72E5">
      <w:pPr>
        <w:pStyle w:val="FootnoteText"/>
      </w:pPr>
      <w:r>
        <w:rPr>
          <w:rStyle w:val="FootnoteReference"/>
        </w:rPr>
        <w:footnoteRef/>
      </w:r>
      <w:r>
        <w:t xml:space="preserve"> Island ECN introduced the first maker-taker fee schedule in 1997.  </w:t>
      </w:r>
    </w:p>
  </w:footnote>
  <w:footnote w:id="8">
    <w:p w:rsidR="004E72E5" w:rsidRDefault="004E72E5">
      <w:pPr>
        <w:pStyle w:val="FootnoteText"/>
      </w:pPr>
      <w:r>
        <w:rPr>
          <w:rStyle w:val="FootnoteReference"/>
        </w:rPr>
        <w:footnoteRef/>
      </w:r>
      <w:r>
        <w:t xml:space="preserve"> See </w:t>
      </w:r>
      <w:proofErr w:type="spellStart"/>
      <w:r w:rsidRPr="00E0791B">
        <w:t>Cardella</w:t>
      </w:r>
      <w:proofErr w:type="spellEnd"/>
      <w:r w:rsidRPr="00E0791B">
        <w:t xml:space="preserve">, </w:t>
      </w:r>
      <w:proofErr w:type="spellStart"/>
      <w:r w:rsidRPr="00E0791B">
        <w:t>Hao</w:t>
      </w:r>
      <w:proofErr w:type="spellEnd"/>
      <w:r>
        <w:t xml:space="preserve"> </w:t>
      </w:r>
      <w:r w:rsidRPr="00E0791B">
        <w:t xml:space="preserve">and </w:t>
      </w:r>
      <w:proofErr w:type="spellStart"/>
      <w:r w:rsidRPr="00E0791B">
        <w:t>Kalcheva</w:t>
      </w:r>
      <w:proofErr w:type="spellEnd"/>
      <w:r>
        <w:t xml:space="preserve"> (2013) Table I for a characterization of the average fee structure at US exchanges.  </w:t>
      </w:r>
      <w:r w:rsidRPr="00C45975">
        <w:t xml:space="preserve">Foucault, Thierry, </w:t>
      </w:r>
      <w:proofErr w:type="spellStart"/>
      <w:r w:rsidRPr="00C45975">
        <w:t>Ohad</w:t>
      </w:r>
      <w:proofErr w:type="spellEnd"/>
      <w:r w:rsidRPr="00C45975">
        <w:t xml:space="preserve"> </w:t>
      </w:r>
      <w:proofErr w:type="spellStart"/>
      <w:r w:rsidRPr="00C45975">
        <w:t>Kadan</w:t>
      </w:r>
      <w:proofErr w:type="spellEnd"/>
      <w:r w:rsidRPr="00C45975">
        <w:t xml:space="preserve">, and Eugene </w:t>
      </w:r>
      <w:proofErr w:type="spellStart"/>
      <w:r>
        <w:t>Kandel</w:t>
      </w:r>
      <w:proofErr w:type="spellEnd"/>
      <w:r w:rsidRPr="00C45975">
        <w:t xml:space="preserve"> </w:t>
      </w:r>
      <w:r>
        <w:t xml:space="preserve">(2013) Table I also </w:t>
      </w:r>
      <w:proofErr w:type="gramStart"/>
      <w:r>
        <w:t>provides</w:t>
      </w:r>
      <w:proofErr w:type="gramEnd"/>
      <w:r>
        <w:t xml:space="preserve"> a summary of make and take fees. </w:t>
      </w:r>
    </w:p>
  </w:footnote>
  <w:footnote w:id="9">
    <w:p w:rsidR="004E72E5" w:rsidRDefault="004E72E5">
      <w:pPr>
        <w:pStyle w:val="FootnoteText"/>
      </w:pPr>
      <w:r>
        <w:rPr>
          <w:rStyle w:val="FootnoteReference"/>
        </w:rPr>
        <w:footnoteRef/>
      </w:r>
      <w:r>
        <w:t xml:space="preserve"> In the academic literature, the </w:t>
      </w:r>
      <w:proofErr w:type="spellStart"/>
      <w:r>
        <w:t>microprice</w:t>
      </w:r>
      <w:proofErr w:type="spellEnd"/>
      <w:r>
        <w:t xml:space="preserve"> has been used by </w:t>
      </w:r>
      <w:proofErr w:type="spellStart"/>
      <w:r>
        <w:t>Gatheral</w:t>
      </w:r>
      <w:proofErr w:type="spellEnd"/>
      <w:r>
        <w:t xml:space="preserve"> and </w:t>
      </w:r>
      <w:proofErr w:type="spellStart"/>
      <w:r>
        <w:t>Oomen</w:t>
      </w:r>
      <w:proofErr w:type="spellEnd"/>
      <w:r>
        <w:t xml:space="preserve"> (2010), Avellaneda, Reed, and </w:t>
      </w:r>
      <w:proofErr w:type="spellStart"/>
      <w:r>
        <w:t>Stoikov</w:t>
      </w:r>
      <w:proofErr w:type="spellEnd"/>
      <w:r>
        <w:t xml:space="preserve"> (2011), </w:t>
      </w:r>
      <w:proofErr w:type="spellStart"/>
      <w:r>
        <w:t>Burlakov</w:t>
      </w:r>
      <w:proofErr w:type="spellEnd"/>
      <w:r>
        <w:t xml:space="preserve">, Yuri, Michael Kamal, and Michele </w:t>
      </w:r>
      <w:proofErr w:type="spellStart"/>
      <w:r>
        <w:t>Salvadore</w:t>
      </w:r>
      <w:proofErr w:type="spellEnd"/>
      <w:r>
        <w:t xml:space="preserve"> (2012) and others. </w:t>
      </w:r>
    </w:p>
  </w:footnote>
  <w:footnote w:id="10">
    <w:p w:rsidR="004E72E5" w:rsidRDefault="004E72E5" w:rsidP="00546499">
      <w:pPr>
        <w:pStyle w:val="FootnoteText"/>
      </w:pPr>
      <w:r>
        <w:rPr>
          <w:rStyle w:val="FootnoteReference"/>
        </w:rPr>
        <w:footnoteRef/>
      </w:r>
      <w:r>
        <w:t xml:space="preserve"> Quotation standing times were computed using all quotes up until 4:00 PM.  If the last quote of the day was before 3:50 PM, the standing time of that quote was computed on the assumption that the quote expired at 4:00 PM.  </w:t>
      </w:r>
    </w:p>
  </w:footnote>
  <w:footnote w:id="11">
    <w:p w:rsidR="004E72E5" w:rsidRDefault="004E72E5" w:rsidP="00282450">
      <w:pPr>
        <w:pStyle w:val="FootnoteText"/>
      </w:pPr>
      <w:r>
        <w:rPr>
          <w:rStyle w:val="FootnoteReference"/>
        </w:rPr>
        <w:footnoteRef/>
      </w:r>
      <w:r>
        <w:t xml:space="preserve"> With the exception of prices, all dollar trade and quote sizes reported in this study are in 2012 current dollars.  The Consumer Price Index data were obtained from </w:t>
      </w:r>
      <w:hyperlink r:id="rId1" w:history="1">
        <w:r w:rsidRPr="000F7A16">
          <w:rPr>
            <w:rStyle w:val="Hyperlink"/>
          </w:rPr>
          <w:t>ftp://ftp.bls.gov/pub/special.requests/cpi/cpiai.txt</w:t>
        </w:r>
      </w:hyperlink>
      <w:r>
        <w:t xml:space="preserve">. </w:t>
      </w:r>
    </w:p>
  </w:footnote>
  <w:footnote w:id="12">
    <w:p w:rsidR="004E72E5" w:rsidRDefault="004E72E5">
      <w:pPr>
        <w:pStyle w:val="FootnoteText"/>
      </w:pPr>
      <w:r>
        <w:rPr>
          <w:rStyle w:val="FootnoteReference"/>
        </w:rPr>
        <w:footnoteRef/>
      </w:r>
      <w:r>
        <w:t xml:space="preserve"> “Offer price” and ask price are perfect synonyms as are “offer size” and “ask size”.  This article primarily uses the term “ask” except in this section when discussing the NBBO.  </w:t>
      </w:r>
    </w:p>
  </w:footnote>
  <w:footnote w:id="13">
    <w:p w:rsidR="004E72E5" w:rsidRDefault="004E72E5">
      <w:pPr>
        <w:pStyle w:val="FootnoteText"/>
      </w:pPr>
      <w:r>
        <w:rPr>
          <w:rStyle w:val="FootnoteReference"/>
        </w:rPr>
        <w:footnoteRef/>
      </w:r>
      <w:r>
        <w:t xml:space="preserve"> Weighting bivariate transaction-time observations consisting of measures based on current and lagged quotations by the standing of the current quote is problematic because it also applies that weight to the measure based on the lagged quotation.  </w:t>
      </w:r>
    </w:p>
  </w:footnote>
  <w:footnote w:id="14">
    <w:p w:rsidR="004E72E5" w:rsidRDefault="004E72E5">
      <w:pPr>
        <w:pStyle w:val="FootnoteText"/>
      </w:pPr>
      <w:r>
        <w:rPr>
          <w:rStyle w:val="FootnoteReference"/>
        </w:rPr>
        <w:footnoteRef/>
      </w:r>
      <w:r>
        <w:t xml:space="preserve"> The full name of the ITS Plan is “</w:t>
      </w:r>
      <w:r w:rsidRPr="007810EF">
        <w:t xml:space="preserve">Plan for the Purpose of Creating and Operating an </w:t>
      </w:r>
      <w:proofErr w:type="spellStart"/>
      <w:r w:rsidRPr="007810EF">
        <w:t>Intermarket</w:t>
      </w:r>
      <w:proofErr w:type="spellEnd"/>
      <w:r w:rsidRPr="007810EF">
        <w:t xml:space="preserve"> Communications Linkage Pursuant to Section 11A(c</w:t>
      </w:r>
      <w:proofErr w:type="gramStart"/>
      <w:r w:rsidRPr="007810EF">
        <w:t>)(</w:t>
      </w:r>
      <w:proofErr w:type="gramEnd"/>
      <w:r w:rsidRPr="007810EF">
        <w:t>3)(B) of the Securities Exchange Act of 1934</w:t>
      </w:r>
      <w:r>
        <w:t>”.</w:t>
      </w:r>
      <w:r w:rsidRPr="007810EF">
        <w:t xml:space="preserve"> </w:t>
      </w:r>
      <w:r>
        <w:t xml:space="preserve"> It was </w:t>
      </w:r>
      <w:r w:rsidRPr="007810EF">
        <w:t xml:space="preserve">initially approved by the </w:t>
      </w:r>
      <w:r>
        <w:t xml:space="preserve">Securities and Exchange </w:t>
      </w:r>
      <w:r w:rsidRPr="007810EF">
        <w:t xml:space="preserve">Commission in 1978. </w:t>
      </w:r>
      <w:r>
        <w:t xml:space="preserve"> The plan only applied to securities listed by the New York Stock Exchange or the American Stock Exchange. </w:t>
      </w:r>
    </w:p>
  </w:footnote>
  <w:footnote w:id="15">
    <w:p w:rsidR="004E72E5" w:rsidRDefault="004E72E5">
      <w:pPr>
        <w:pStyle w:val="FootnoteText"/>
      </w:pPr>
      <w:r>
        <w:rPr>
          <w:rStyle w:val="FootnoteReference"/>
        </w:rPr>
        <w:footnoteRef/>
      </w:r>
      <w:r>
        <w:t xml:space="preserve"> All returns in this study are computed as log price relatives.</w:t>
      </w:r>
    </w:p>
  </w:footnote>
  <w:footnote w:id="16">
    <w:p w:rsidR="004E72E5" w:rsidRDefault="004E72E5">
      <w:pPr>
        <w:pStyle w:val="FootnoteText"/>
      </w:pPr>
      <w:r>
        <w:rPr>
          <w:rStyle w:val="FootnoteReference"/>
        </w:rPr>
        <w:footnoteRef/>
      </w:r>
      <w:r>
        <w:t xml:space="preserve"> For each </w:t>
      </w:r>
      <w:r w:rsidRPr="00007814">
        <w:rPr>
          <w:vanish/>
        </w:rPr>
        <w:t xml:space="preserve">year and </w:t>
      </w:r>
      <w:r>
        <w:t xml:space="preserve">observational interval, I constructed a random sample of correlation triplets (one correlation for each of the three value estimators) from set of all pairwise correlations among the stocks in the sample.  This random sample had the same number of observations as the number of all pairwise correlations.  I then computed the three paired </w:t>
      </w:r>
      <w:r>
        <w:rPr>
          <w:i/>
        </w:rPr>
        <w:t>t</w:t>
      </w:r>
      <w:r>
        <w:t xml:space="preserve">-statistics from this sample.  I repeated the process 10,000 times to get a bootstrap distribution for each of the three </w:t>
      </w:r>
      <w:r>
        <w:rPr>
          <w:i/>
        </w:rPr>
        <w:t>t-</w:t>
      </w:r>
      <w:r>
        <w:t xml:space="preserve">statistics for each </w:t>
      </w:r>
      <w:r w:rsidRPr="00E06575">
        <w:rPr>
          <w:vanish/>
        </w:rPr>
        <w:t xml:space="preserve">year and </w:t>
      </w:r>
      <w:r>
        <w:t xml:space="preserve">interval.  </w:t>
      </w:r>
    </w:p>
  </w:footnote>
  <w:footnote w:id="17">
    <w:p w:rsidR="004E72E5" w:rsidRDefault="004E72E5">
      <w:pPr>
        <w:pStyle w:val="FootnoteText"/>
      </w:pPr>
      <w:r>
        <w:rPr>
          <w:rStyle w:val="FootnoteReference"/>
        </w:rPr>
        <w:footnoteRef/>
      </w:r>
      <w:r>
        <w:t xml:space="preserve"> Observations for which the midpoint quotation changed by more than 2 percent are excluded from the analysis because the information conveyed in these changes is more about changes in true values than about the market structure frictions of interest to this study.  </w:t>
      </w:r>
    </w:p>
  </w:footnote>
  <w:footnote w:id="18">
    <w:p w:rsidR="004E72E5" w:rsidRDefault="004E72E5">
      <w:pPr>
        <w:pStyle w:val="FootnoteText"/>
      </w:pPr>
      <w:r>
        <w:rPr>
          <w:rStyle w:val="FootnoteReference"/>
        </w:rPr>
        <w:footnoteRef/>
      </w:r>
      <w:r>
        <w:t xml:space="preserve"> In principle, a stronger test could be constructed by conducting a chi-square test separately for each stock and then aggregating the results.  However, without adjustment, such a test would vastly overstate the significance levels because the sub-penny component of the valuation estimates is highly serially correlated.  This correlation could be broken up by sampling at sufficiently long intervals.  Depending on how frequently the data were sampled, the resulting test could be stronger than the cross-sectional test. </w:t>
      </w:r>
    </w:p>
  </w:footnote>
  <w:footnote w:id="19">
    <w:p w:rsidR="004E72E5" w:rsidRDefault="004E72E5" w:rsidP="004B5846">
      <w:pPr>
        <w:pStyle w:val="FootnoteText"/>
      </w:pPr>
      <w:r>
        <w:rPr>
          <w:rStyle w:val="FootnoteReference"/>
        </w:rPr>
        <w:footnoteRef/>
      </w:r>
      <w:r>
        <w:t xml:space="preserve"> Note that the main spikes appear further from 0.5¢ in the adjusted value estimate histogram than in the unadjusted value histogram due to the stretching of the adjusted estimates away from the center. </w:t>
      </w:r>
    </w:p>
  </w:footnote>
  <w:footnote w:id="20">
    <w:p w:rsidR="004E72E5" w:rsidRDefault="004E72E5">
      <w:pPr>
        <w:pStyle w:val="FootnoteText"/>
      </w:pPr>
      <w:r>
        <w:rPr>
          <w:rStyle w:val="FootnoteReference"/>
        </w:rPr>
        <w:footnoteRef/>
      </w:r>
      <w:r>
        <w:t xml:space="preserve"> The contour distributions were produced from a discrete 21x21 grid by first tabulating the distribution for each stock in the sample and then averaging the results over all stocks using average dollar trading volume weights.  The data plot only quotation pairs for which both quotes had one-tick spreads.  </w:t>
      </w:r>
    </w:p>
  </w:footnote>
  <w:footnote w:id="21">
    <w:p w:rsidR="004E72E5" w:rsidRDefault="004E72E5" w:rsidP="003052CA">
      <w:pPr>
        <w:pStyle w:val="FootnoteText"/>
      </w:pPr>
      <w:r>
        <w:rPr>
          <w:rStyle w:val="FootnoteReference"/>
        </w:rPr>
        <w:footnoteRef/>
      </w:r>
      <w:r>
        <w:t xml:space="preserve"> Internalization occurs when a broker fills a customer order while acting as a dealer.  </w:t>
      </w:r>
      <w:proofErr w:type="spellStart"/>
      <w:r>
        <w:t>Preferencing</w:t>
      </w:r>
      <w:proofErr w:type="spellEnd"/>
      <w:r>
        <w:t xml:space="preserve"> occurs when a broker routes a customer order to a preferred dealer for execution, usually in exchange for some consideration such as payment for order flow. </w:t>
      </w:r>
    </w:p>
  </w:footnote>
  <w:footnote w:id="22">
    <w:p w:rsidR="004E72E5" w:rsidRDefault="004E72E5">
      <w:pPr>
        <w:pStyle w:val="FootnoteText"/>
      </w:pPr>
      <w:r>
        <w:rPr>
          <w:rStyle w:val="FootnoteReference"/>
        </w:rPr>
        <w:footnoteRef/>
      </w:r>
      <w:r>
        <w:t xml:space="preserve"> A discussion of these issues appears in Angel, Harris, and Spatt (2003).  </w:t>
      </w:r>
    </w:p>
  </w:footnote>
  <w:footnote w:id="23">
    <w:p w:rsidR="004E72E5" w:rsidRDefault="004E72E5">
      <w:pPr>
        <w:pStyle w:val="FootnoteText"/>
      </w:pPr>
      <w:r>
        <w:rPr>
          <w:rStyle w:val="FootnoteReference"/>
        </w:rPr>
        <w:footnoteRef/>
      </w:r>
      <w:r>
        <w:t xml:space="preserve"> See </w:t>
      </w:r>
      <w:proofErr w:type="spellStart"/>
      <w:r>
        <w:t>Amihud</w:t>
      </w:r>
      <w:proofErr w:type="spellEnd"/>
      <w:r>
        <w:t xml:space="preserve"> and </w:t>
      </w:r>
      <w:proofErr w:type="spellStart"/>
      <w:r>
        <w:t>Mendelson</w:t>
      </w:r>
      <w:proofErr w:type="spellEnd"/>
      <w:r>
        <w:t xml:space="preserve"> (1990) and Harris (2003) for discussions of the quote-matching strategy.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2E5" w:rsidRDefault="004E72E5">
    <w:pPr>
      <w:adjustRightInd w:val="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A6C58"/>
    <w:multiLevelType w:val="hybridMultilevel"/>
    <w:tmpl w:val="1E528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E80D70"/>
    <w:multiLevelType w:val="hybridMultilevel"/>
    <w:tmpl w:val="6DE46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1E4806"/>
    <w:multiLevelType w:val="hybridMultilevel"/>
    <w:tmpl w:val="6DE46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073AFC"/>
    <w:multiLevelType w:val="multilevel"/>
    <w:tmpl w:val="381AB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BC5B62"/>
    <w:multiLevelType w:val="hybridMultilevel"/>
    <w:tmpl w:val="470C2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023F5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6CE54A90"/>
    <w:multiLevelType w:val="hybridMultilevel"/>
    <w:tmpl w:val="26D28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D519FB"/>
    <w:multiLevelType w:val="hybridMultilevel"/>
    <w:tmpl w:val="1E528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5E0D04"/>
    <w:multiLevelType w:val="hybridMultilevel"/>
    <w:tmpl w:val="11D6A5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1"/>
  </w:num>
  <w:num w:numId="5">
    <w:abstractNumId w:val="2"/>
  </w:num>
  <w:num w:numId="6">
    <w:abstractNumId w:val="5"/>
  </w:num>
  <w:num w:numId="7">
    <w:abstractNumId w:val="5"/>
  </w:num>
  <w:num w:numId="8">
    <w:abstractNumId w:val="5"/>
  </w:num>
  <w:num w:numId="9">
    <w:abstractNumId w:val="8"/>
  </w:num>
  <w:num w:numId="10">
    <w:abstractNumId w:val="0"/>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markup="0"/>
  <w:defaultTabStop w:val="720"/>
  <w:characterSpacingControl w:val="doNotCompress"/>
  <w:footnotePr>
    <w:footnote w:id="-1"/>
    <w:footnote w:id="0"/>
  </w:footnotePr>
  <w:endnotePr>
    <w:endnote w:id="-1"/>
    <w:endnote w:id="0"/>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C7A"/>
    <w:rsid w:val="000019AB"/>
    <w:rsid w:val="00001C67"/>
    <w:rsid w:val="000028C7"/>
    <w:rsid w:val="000042E4"/>
    <w:rsid w:val="0000494F"/>
    <w:rsid w:val="00005747"/>
    <w:rsid w:val="000058EC"/>
    <w:rsid w:val="000067E7"/>
    <w:rsid w:val="00007814"/>
    <w:rsid w:val="000108E4"/>
    <w:rsid w:val="00011485"/>
    <w:rsid w:val="00012187"/>
    <w:rsid w:val="00012807"/>
    <w:rsid w:val="000132C3"/>
    <w:rsid w:val="00013BDC"/>
    <w:rsid w:val="00014AF6"/>
    <w:rsid w:val="00016318"/>
    <w:rsid w:val="00017490"/>
    <w:rsid w:val="00017C52"/>
    <w:rsid w:val="0002104E"/>
    <w:rsid w:val="0002141C"/>
    <w:rsid w:val="0002240A"/>
    <w:rsid w:val="00022AEC"/>
    <w:rsid w:val="000246A4"/>
    <w:rsid w:val="00025032"/>
    <w:rsid w:val="00025A33"/>
    <w:rsid w:val="00027590"/>
    <w:rsid w:val="00031129"/>
    <w:rsid w:val="00031780"/>
    <w:rsid w:val="000323A3"/>
    <w:rsid w:val="000341CF"/>
    <w:rsid w:val="00035A64"/>
    <w:rsid w:val="000369C8"/>
    <w:rsid w:val="000377FC"/>
    <w:rsid w:val="00041627"/>
    <w:rsid w:val="000422E1"/>
    <w:rsid w:val="000450D8"/>
    <w:rsid w:val="00046669"/>
    <w:rsid w:val="000471AC"/>
    <w:rsid w:val="00050B73"/>
    <w:rsid w:val="00053A9C"/>
    <w:rsid w:val="000549D4"/>
    <w:rsid w:val="0005790A"/>
    <w:rsid w:val="000617D9"/>
    <w:rsid w:val="00062C90"/>
    <w:rsid w:val="000638CC"/>
    <w:rsid w:val="000701E3"/>
    <w:rsid w:val="00075746"/>
    <w:rsid w:val="000768FC"/>
    <w:rsid w:val="000821EB"/>
    <w:rsid w:val="00084978"/>
    <w:rsid w:val="00091302"/>
    <w:rsid w:val="00093499"/>
    <w:rsid w:val="000955A1"/>
    <w:rsid w:val="00097901"/>
    <w:rsid w:val="00097C93"/>
    <w:rsid w:val="000A1F04"/>
    <w:rsid w:val="000A6C2E"/>
    <w:rsid w:val="000B06D7"/>
    <w:rsid w:val="000B096C"/>
    <w:rsid w:val="000B3D1F"/>
    <w:rsid w:val="000B4069"/>
    <w:rsid w:val="000B4F6E"/>
    <w:rsid w:val="000C0476"/>
    <w:rsid w:val="000C2773"/>
    <w:rsid w:val="000C4CED"/>
    <w:rsid w:val="000C7F40"/>
    <w:rsid w:val="000E300F"/>
    <w:rsid w:val="000E44C1"/>
    <w:rsid w:val="000E478A"/>
    <w:rsid w:val="000E48E6"/>
    <w:rsid w:val="000F03B9"/>
    <w:rsid w:val="000F08A6"/>
    <w:rsid w:val="000F2CED"/>
    <w:rsid w:val="000F48C5"/>
    <w:rsid w:val="000F7CD4"/>
    <w:rsid w:val="00100B07"/>
    <w:rsid w:val="00104D3F"/>
    <w:rsid w:val="001070F8"/>
    <w:rsid w:val="001072B1"/>
    <w:rsid w:val="001100E4"/>
    <w:rsid w:val="00110486"/>
    <w:rsid w:val="00111097"/>
    <w:rsid w:val="00113BC6"/>
    <w:rsid w:val="00115ABC"/>
    <w:rsid w:val="0012006B"/>
    <w:rsid w:val="00120BAF"/>
    <w:rsid w:val="00122354"/>
    <w:rsid w:val="00123A8A"/>
    <w:rsid w:val="00127D52"/>
    <w:rsid w:val="00130E51"/>
    <w:rsid w:val="00133EDE"/>
    <w:rsid w:val="001407B6"/>
    <w:rsid w:val="00140E8D"/>
    <w:rsid w:val="00143589"/>
    <w:rsid w:val="0014456C"/>
    <w:rsid w:val="00144B90"/>
    <w:rsid w:val="00151771"/>
    <w:rsid w:val="001535D9"/>
    <w:rsid w:val="00154ABE"/>
    <w:rsid w:val="00156368"/>
    <w:rsid w:val="00160026"/>
    <w:rsid w:val="00163288"/>
    <w:rsid w:val="00166DA7"/>
    <w:rsid w:val="0017000D"/>
    <w:rsid w:val="00171328"/>
    <w:rsid w:val="001726CD"/>
    <w:rsid w:val="00172714"/>
    <w:rsid w:val="001732CF"/>
    <w:rsid w:val="00177118"/>
    <w:rsid w:val="0018350F"/>
    <w:rsid w:val="00186DDE"/>
    <w:rsid w:val="00186F22"/>
    <w:rsid w:val="001873E5"/>
    <w:rsid w:val="00187729"/>
    <w:rsid w:val="00196657"/>
    <w:rsid w:val="001A2122"/>
    <w:rsid w:val="001A2165"/>
    <w:rsid w:val="001A2950"/>
    <w:rsid w:val="001A456C"/>
    <w:rsid w:val="001A6DF0"/>
    <w:rsid w:val="001B3CBE"/>
    <w:rsid w:val="001B4667"/>
    <w:rsid w:val="001B5D4A"/>
    <w:rsid w:val="001C1372"/>
    <w:rsid w:val="001C1563"/>
    <w:rsid w:val="001C1622"/>
    <w:rsid w:val="001C3D23"/>
    <w:rsid w:val="001C54D0"/>
    <w:rsid w:val="001D364B"/>
    <w:rsid w:val="001D4F65"/>
    <w:rsid w:val="001D5E87"/>
    <w:rsid w:val="001D7BEE"/>
    <w:rsid w:val="001E2926"/>
    <w:rsid w:val="001E2FD2"/>
    <w:rsid w:val="001E3D1C"/>
    <w:rsid w:val="001E3E02"/>
    <w:rsid w:val="001F0924"/>
    <w:rsid w:val="001F3F29"/>
    <w:rsid w:val="001F594E"/>
    <w:rsid w:val="001F7591"/>
    <w:rsid w:val="001F7EDE"/>
    <w:rsid w:val="00202622"/>
    <w:rsid w:val="00203652"/>
    <w:rsid w:val="002067F4"/>
    <w:rsid w:val="00207BAF"/>
    <w:rsid w:val="00210944"/>
    <w:rsid w:val="00212B8C"/>
    <w:rsid w:val="0022032E"/>
    <w:rsid w:val="0022583E"/>
    <w:rsid w:val="00227B8D"/>
    <w:rsid w:val="002310E8"/>
    <w:rsid w:val="00235564"/>
    <w:rsid w:val="002377FE"/>
    <w:rsid w:val="002379F3"/>
    <w:rsid w:val="00237DBC"/>
    <w:rsid w:val="00250188"/>
    <w:rsid w:val="00252524"/>
    <w:rsid w:val="00253625"/>
    <w:rsid w:val="00255FED"/>
    <w:rsid w:val="002576F4"/>
    <w:rsid w:val="00261FD0"/>
    <w:rsid w:val="00273C48"/>
    <w:rsid w:val="00275D12"/>
    <w:rsid w:val="00276420"/>
    <w:rsid w:val="002803A6"/>
    <w:rsid w:val="00282017"/>
    <w:rsid w:val="00282450"/>
    <w:rsid w:val="00283956"/>
    <w:rsid w:val="00285972"/>
    <w:rsid w:val="00285A0D"/>
    <w:rsid w:val="00292533"/>
    <w:rsid w:val="00294276"/>
    <w:rsid w:val="002A08CF"/>
    <w:rsid w:val="002A26EC"/>
    <w:rsid w:val="002A41A2"/>
    <w:rsid w:val="002A67B8"/>
    <w:rsid w:val="002B0043"/>
    <w:rsid w:val="002B1D62"/>
    <w:rsid w:val="002B3385"/>
    <w:rsid w:val="002B7FA9"/>
    <w:rsid w:val="002C04AF"/>
    <w:rsid w:val="002C3A31"/>
    <w:rsid w:val="002C49E1"/>
    <w:rsid w:val="002D6EBC"/>
    <w:rsid w:val="002D738B"/>
    <w:rsid w:val="002E0584"/>
    <w:rsid w:val="002E6E14"/>
    <w:rsid w:val="002E7B6E"/>
    <w:rsid w:val="002F1D72"/>
    <w:rsid w:val="002F207B"/>
    <w:rsid w:val="00300712"/>
    <w:rsid w:val="00300B03"/>
    <w:rsid w:val="00300D16"/>
    <w:rsid w:val="00303158"/>
    <w:rsid w:val="003052CA"/>
    <w:rsid w:val="0030765E"/>
    <w:rsid w:val="00307790"/>
    <w:rsid w:val="00312438"/>
    <w:rsid w:val="00314107"/>
    <w:rsid w:val="003157DF"/>
    <w:rsid w:val="0031655E"/>
    <w:rsid w:val="003214A9"/>
    <w:rsid w:val="003232AD"/>
    <w:rsid w:val="0032504C"/>
    <w:rsid w:val="003329D4"/>
    <w:rsid w:val="00335EB3"/>
    <w:rsid w:val="00337B7A"/>
    <w:rsid w:val="0035081C"/>
    <w:rsid w:val="00351A0C"/>
    <w:rsid w:val="00352E22"/>
    <w:rsid w:val="00355670"/>
    <w:rsid w:val="0036136A"/>
    <w:rsid w:val="003642D0"/>
    <w:rsid w:val="003716C2"/>
    <w:rsid w:val="003749A1"/>
    <w:rsid w:val="00374BB7"/>
    <w:rsid w:val="00375BBA"/>
    <w:rsid w:val="00380D24"/>
    <w:rsid w:val="0038239A"/>
    <w:rsid w:val="00382837"/>
    <w:rsid w:val="0038367F"/>
    <w:rsid w:val="00384C38"/>
    <w:rsid w:val="00386AB9"/>
    <w:rsid w:val="00391A68"/>
    <w:rsid w:val="003928D1"/>
    <w:rsid w:val="00392F89"/>
    <w:rsid w:val="003935AC"/>
    <w:rsid w:val="003961E1"/>
    <w:rsid w:val="00397675"/>
    <w:rsid w:val="003A13BC"/>
    <w:rsid w:val="003A30AE"/>
    <w:rsid w:val="003A4764"/>
    <w:rsid w:val="003A688C"/>
    <w:rsid w:val="003A7811"/>
    <w:rsid w:val="003B1472"/>
    <w:rsid w:val="003B23FB"/>
    <w:rsid w:val="003B291D"/>
    <w:rsid w:val="003B4237"/>
    <w:rsid w:val="003C01B8"/>
    <w:rsid w:val="003C0375"/>
    <w:rsid w:val="003C09C1"/>
    <w:rsid w:val="003C11E3"/>
    <w:rsid w:val="003C2A45"/>
    <w:rsid w:val="003C6CF9"/>
    <w:rsid w:val="003D61E2"/>
    <w:rsid w:val="003D7070"/>
    <w:rsid w:val="003D73AA"/>
    <w:rsid w:val="003E25C6"/>
    <w:rsid w:val="003E41EA"/>
    <w:rsid w:val="003E7CB3"/>
    <w:rsid w:val="003F364B"/>
    <w:rsid w:val="003F45AE"/>
    <w:rsid w:val="003F5909"/>
    <w:rsid w:val="003F72B3"/>
    <w:rsid w:val="003F7929"/>
    <w:rsid w:val="0040070B"/>
    <w:rsid w:val="004032E7"/>
    <w:rsid w:val="0040340B"/>
    <w:rsid w:val="004038FC"/>
    <w:rsid w:val="00403C09"/>
    <w:rsid w:val="00410058"/>
    <w:rsid w:val="00410607"/>
    <w:rsid w:val="00410AFB"/>
    <w:rsid w:val="0042088F"/>
    <w:rsid w:val="00422E57"/>
    <w:rsid w:val="00424BA7"/>
    <w:rsid w:val="00431D2B"/>
    <w:rsid w:val="00433AFB"/>
    <w:rsid w:val="0043538E"/>
    <w:rsid w:val="00436233"/>
    <w:rsid w:val="0043710B"/>
    <w:rsid w:val="0044226A"/>
    <w:rsid w:val="004422C4"/>
    <w:rsid w:val="004426E9"/>
    <w:rsid w:val="004436E9"/>
    <w:rsid w:val="0044523D"/>
    <w:rsid w:val="004465F5"/>
    <w:rsid w:val="00446F08"/>
    <w:rsid w:val="00447115"/>
    <w:rsid w:val="00450311"/>
    <w:rsid w:val="0045234E"/>
    <w:rsid w:val="004563C2"/>
    <w:rsid w:val="00456604"/>
    <w:rsid w:val="00457514"/>
    <w:rsid w:val="0045791F"/>
    <w:rsid w:val="0046287C"/>
    <w:rsid w:val="0046307A"/>
    <w:rsid w:val="00463373"/>
    <w:rsid w:val="0046458A"/>
    <w:rsid w:val="004653C9"/>
    <w:rsid w:val="00466181"/>
    <w:rsid w:val="004714A0"/>
    <w:rsid w:val="00471649"/>
    <w:rsid w:val="0047488E"/>
    <w:rsid w:val="00475426"/>
    <w:rsid w:val="004825A7"/>
    <w:rsid w:val="00486484"/>
    <w:rsid w:val="00490907"/>
    <w:rsid w:val="00495CF8"/>
    <w:rsid w:val="004A0B01"/>
    <w:rsid w:val="004A27C8"/>
    <w:rsid w:val="004B063B"/>
    <w:rsid w:val="004B4A37"/>
    <w:rsid w:val="004B5846"/>
    <w:rsid w:val="004B5BF8"/>
    <w:rsid w:val="004B77DE"/>
    <w:rsid w:val="004C18FA"/>
    <w:rsid w:val="004C2C7A"/>
    <w:rsid w:val="004C36A7"/>
    <w:rsid w:val="004C6636"/>
    <w:rsid w:val="004E06C2"/>
    <w:rsid w:val="004E0B85"/>
    <w:rsid w:val="004E3C49"/>
    <w:rsid w:val="004E46CF"/>
    <w:rsid w:val="004E72E5"/>
    <w:rsid w:val="004F0D53"/>
    <w:rsid w:val="004F3EB9"/>
    <w:rsid w:val="004F68E2"/>
    <w:rsid w:val="00502616"/>
    <w:rsid w:val="00506E05"/>
    <w:rsid w:val="00511979"/>
    <w:rsid w:val="00512B67"/>
    <w:rsid w:val="005144A7"/>
    <w:rsid w:val="00514B7A"/>
    <w:rsid w:val="00514F58"/>
    <w:rsid w:val="005150FA"/>
    <w:rsid w:val="00517C10"/>
    <w:rsid w:val="005258B8"/>
    <w:rsid w:val="005274ED"/>
    <w:rsid w:val="00527A70"/>
    <w:rsid w:val="00531036"/>
    <w:rsid w:val="00534F1E"/>
    <w:rsid w:val="00536A42"/>
    <w:rsid w:val="00537A59"/>
    <w:rsid w:val="005408F6"/>
    <w:rsid w:val="00540CAE"/>
    <w:rsid w:val="00540EBB"/>
    <w:rsid w:val="00544214"/>
    <w:rsid w:val="00545AB8"/>
    <w:rsid w:val="00546259"/>
    <w:rsid w:val="00546499"/>
    <w:rsid w:val="0054753A"/>
    <w:rsid w:val="005516E9"/>
    <w:rsid w:val="00551B73"/>
    <w:rsid w:val="005524ED"/>
    <w:rsid w:val="00555CC8"/>
    <w:rsid w:val="005565E3"/>
    <w:rsid w:val="00561618"/>
    <w:rsid w:val="005622D4"/>
    <w:rsid w:val="00562E5D"/>
    <w:rsid w:val="00563AC0"/>
    <w:rsid w:val="0056515F"/>
    <w:rsid w:val="00565810"/>
    <w:rsid w:val="00566E06"/>
    <w:rsid w:val="0056703B"/>
    <w:rsid w:val="005700DA"/>
    <w:rsid w:val="005713F8"/>
    <w:rsid w:val="00571499"/>
    <w:rsid w:val="00571591"/>
    <w:rsid w:val="0057169D"/>
    <w:rsid w:val="00573F85"/>
    <w:rsid w:val="00575034"/>
    <w:rsid w:val="00575441"/>
    <w:rsid w:val="00583B90"/>
    <w:rsid w:val="00584ECE"/>
    <w:rsid w:val="00587D88"/>
    <w:rsid w:val="00587DB4"/>
    <w:rsid w:val="00593DC6"/>
    <w:rsid w:val="00595837"/>
    <w:rsid w:val="00595B19"/>
    <w:rsid w:val="005A0A95"/>
    <w:rsid w:val="005B1F67"/>
    <w:rsid w:val="005B4FC4"/>
    <w:rsid w:val="005B5694"/>
    <w:rsid w:val="005B58B4"/>
    <w:rsid w:val="005C3EAD"/>
    <w:rsid w:val="005D1893"/>
    <w:rsid w:val="005D55D3"/>
    <w:rsid w:val="005E6022"/>
    <w:rsid w:val="005F2194"/>
    <w:rsid w:val="005F4C96"/>
    <w:rsid w:val="005F71BA"/>
    <w:rsid w:val="005F7E6A"/>
    <w:rsid w:val="00601ACD"/>
    <w:rsid w:val="006032E1"/>
    <w:rsid w:val="00603E25"/>
    <w:rsid w:val="006075F2"/>
    <w:rsid w:val="006152A5"/>
    <w:rsid w:val="00625DA2"/>
    <w:rsid w:val="006302E7"/>
    <w:rsid w:val="0063053F"/>
    <w:rsid w:val="006353B9"/>
    <w:rsid w:val="006403AF"/>
    <w:rsid w:val="0064141D"/>
    <w:rsid w:val="00641A1D"/>
    <w:rsid w:val="006427F2"/>
    <w:rsid w:val="00643219"/>
    <w:rsid w:val="0065143E"/>
    <w:rsid w:val="00652537"/>
    <w:rsid w:val="00652BD8"/>
    <w:rsid w:val="006545C9"/>
    <w:rsid w:val="006548F4"/>
    <w:rsid w:val="00654E20"/>
    <w:rsid w:val="00655603"/>
    <w:rsid w:val="00657A84"/>
    <w:rsid w:val="00660255"/>
    <w:rsid w:val="00664514"/>
    <w:rsid w:val="00667954"/>
    <w:rsid w:val="00667971"/>
    <w:rsid w:val="006710CC"/>
    <w:rsid w:val="0067316D"/>
    <w:rsid w:val="006753AF"/>
    <w:rsid w:val="0067562F"/>
    <w:rsid w:val="00676BDF"/>
    <w:rsid w:val="0067728C"/>
    <w:rsid w:val="0068116A"/>
    <w:rsid w:val="00681CDB"/>
    <w:rsid w:val="0068452B"/>
    <w:rsid w:val="00686574"/>
    <w:rsid w:val="00686C23"/>
    <w:rsid w:val="00687992"/>
    <w:rsid w:val="00690E39"/>
    <w:rsid w:val="00691731"/>
    <w:rsid w:val="00692453"/>
    <w:rsid w:val="006935BF"/>
    <w:rsid w:val="006935CB"/>
    <w:rsid w:val="00693FFF"/>
    <w:rsid w:val="006A07C4"/>
    <w:rsid w:val="006A47CE"/>
    <w:rsid w:val="006A57CD"/>
    <w:rsid w:val="006A5CC9"/>
    <w:rsid w:val="006A6D26"/>
    <w:rsid w:val="006A6D92"/>
    <w:rsid w:val="006B5B69"/>
    <w:rsid w:val="006B6F0A"/>
    <w:rsid w:val="006C1196"/>
    <w:rsid w:val="006C1A05"/>
    <w:rsid w:val="006C6B18"/>
    <w:rsid w:val="006D1BAD"/>
    <w:rsid w:val="006D2E1A"/>
    <w:rsid w:val="006E1050"/>
    <w:rsid w:val="006E2CF5"/>
    <w:rsid w:val="006E75DE"/>
    <w:rsid w:val="006E77B6"/>
    <w:rsid w:val="006F0EE0"/>
    <w:rsid w:val="006F17DF"/>
    <w:rsid w:val="007007AD"/>
    <w:rsid w:val="00700BB9"/>
    <w:rsid w:val="00702FA7"/>
    <w:rsid w:val="007032B4"/>
    <w:rsid w:val="00703D02"/>
    <w:rsid w:val="00703E7D"/>
    <w:rsid w:val="0070414F"/>
    <w:rsid w:val="007041D2"/>
    <w:rsid w:val="00706476"/>
    <w:rsid w:val="00711907"/>
    <w:rsid w:val="007144E8"/>
    <w:rsid w:val="007219E8"/>
    <w:rsid w:val="00725735"/>
    <w:rsid w:val="00726817"/>
    <w:rsid w:val="00726F7D"/>
    <w:rsid w:val="00734BF9"/>
    <w:rsid w:val="00742E2E"/>
    <w:rsid w:val="0074387B"/>
    <w:rsid w:val="007438FB"/>
    <w:rsid w:val="00745313"/>
    <w:rsid w:val="007456BE"/>
    <w:rsid w:val="007515B1"/>
    <w:rsid w:val="00753ACC"/>
    <w:rsid w:val="00756413"/>
    <w:rsid w:val="0075751F"/>
    <w:rsid w:val="00757E6D"/>
    <w:rsid w:val="007625BB"/>
    <w:rsid w:val="00763945"/>
    <w:rsid w:val="00770F2D"/>
    <w:rsid w:val="00773C7F"/>
    <w:rsid w:val="00777132"/>
    <w:rsid w:val="007810EF"/>
    <w:rsid w:val="00782DC1"/>
    <w:rsid w:val="00782E89"/>
    <w:rsid w:val="0078310E"/>
    <w:rsid w:val="00784401"/>
    <w:rsid w:val="00784BE7"/>
    <w:rsid w:val="0078758A"/>
    <w:rsid w:val="007A6398"/>
    <w:rsid w:val="007B0DDB"/>
    <w:rsid w:val="007B1CF4"/>
    <w:rsid w:val="007B32C3"/>
    <w:rsid w:val="007B366B"/>
    <w:rsid w:val="007B4136"/>
    <w:rsid w:val="007B41A9"/>
    <w:rsid w:val="007B5413"/>
    <w:rsid w:val="007C18CA"/>
    <w:rsid w:val="007C3833"/>
    <w:rsid w:val="007C3C8A"/>
    <w:rsid w:val="007C41DB"/>
    <w:rsid w:val="007C4297"/>
    <w:rsid w:val="007C6EBE"/>
    <w:rsid w:val="007E1435"/>
    <w:rsid w:val="007E5F31"/>
    <w:rsid w:val="007F22D4"/>
    <w:rsid w:val="007F37B9"/>
    <w:rsid w:val="007F37EB"/>
    <w:rsid w:val="007F4004"/>
    <w:rsid w:val="007F44CB"/>
    <w:rsid w:val="007F5F66"/>
    <w:rsid w:val="007F6986"/>
    <w:rsid w:val="007F6B63"/>
    <w:rsid w:val="00802280"/>
    <w:rsid w:val="00802661"/>
    <w:rsid w:val="00804DB2"/>
    <w:rsid w:val="00810EC1"/>
    <w:rsid w:val="008118A7"/>
    <w:rsid w:val="00812081"/>
    <w:rsid w:val="008138A0"/>
    <w:rsid w:val="00814F8E"/>
    <w:rsid w:val="00816E38"/>
    <w:rsid w:val="00823792"/>
    <w:rsid w:val="00824B59"/>
    <w:rsid w:val="0082604A"/>
    <w:rsid w:val="0082728A"/>
    <w:rsid w:val="00831441"/>
    <w:rsid w:val="008360E8"/>
    <w:rsid w:val="00837E43"/>
    <w:rsid w:val="008446C6"/>
    <w:rsid w:val="0084791D"/>
    <w:rsid w:val="00852865"/>
    <w:rsid w:val="008539CF"/>
    <w:rsid w:val="00855308"/>
    <w:rsid w:val="0085744F"/>
    <w:rsid w:val="00857750"/>
    <w:rsid w:val="00857F21"/>
    <w:rsid w:val="00860926"/>
    <w:rsid w:val="0086193E"/>
    <w:rsid w:val="00861EF5"/>
    <w:rsid w:val="00863185"/>
    <w:rsid w:val="008666D6"/>
    <w:rsid w:val="00871E11"/>
    <w:rsid w:val="00874980"/>
    <w:rsid w:val="00875D54"/>
    <w:rsid w:val="00877B75"/>
    <w:rsid w:val="008814F1"/>
    <w:rsid w:val="00887E21"/>
    <w:rsid w:val="008914DA"/>
    <w:rsid w:val="008946C7"/>
    <w:rsid w:val="008A7E67"/>
    <w:rsid w:val="008B067E"/>
    <w:rsid w:val="008B1A81"/>
    <w:rsid w:val="008B2A23"/>
    <w:rsid w:val="008B3BEF"/>
    <w:rsid w:val="008B46EA"/>
    <w:rsid w:val="008B5B7D"/>
    <w:rsid w:val="008C3F0B"/>
    <w:rsid w:val="008C449E"/>
    <w:rsid w:val="008C7667"/>
    <w:rsid w:val="008D2D0E"/>
    <w:rsid w:val="008D4772"/>
    <w:rsid w:val="008E074D"/>
    <w:rsid w:val="008E2DE1"/>
    <w:rsid w:val="008E3804"/>
    <w:rsid w:val="008E59C8"/>
    <w:rsid w:val="008E6B2D"/>
    <w:rsid w:val="008F3D6B"/>
    <w:rsid w:val="008F47DE"/>
    <w:rsid w:val="008F5F2F"/>
    <w:rsid w:val="008F6BAA"/>
    <w:rsid w:val="008F765F"/>
    <w:rsid w:val="00901B2E"/>
    <w:rsid w:val="00902734"/>
    <w:rsid w:val="00912B26"/>
    <w:rsid w:val="00923579"/>
    <w:rsid w:val="00923D91"/>
    <w:rsid w:val="00924805"/>
    <w:rsid w:val="00934B5D"/>
    <w:rsid w:val="00936323"/>
    <w:rsid w:val="00936691"/>
    <w:rsid w:val="00936921"/>
    <w:rsid w:val="00940A73"/>
    <w:rsid w:val="00946BCE"/>
    <w:rsid w:val="00950213"/>
    <w:rsid w:val="0095421D"/>
    <w:rsid w:val="00955ACE"/>
    <w:rsid w:val="00956373"/>
    <w:rsid w:val="009604A2"/>
    <w:rsid w:val="0096243D"/>
    <w:rsid w:val="00964DB3"/>
    <w:rsid w:val="009654D6"/>
    <w:rsid w:val="00966919"/>
    <w:rsid w:val="009678FC"/>
    <w:rsid w:val="009735CA"/>
    <w:rsid w:val="00980791"/>
    <w:rsid w:val="0098252C"/>
    <w:rsid w:val="00983F43"/>
    <w:rsid w:val="0098519F"/>
    <w:rsid w:val="0098544C"/>
    <w:rsid w:val="0098754B"/>
    <w:rsid w:val="00991117"/>
    <w:rsid w:val="009A0225"/>
    <w:rsid w:val="009A3BE8"/>
    <w:rsid w:val="009A5F5E"/>
    <w:rsid w:val="009B1696"/>
    <w:rsid w:val="009B4542"/>
    <w:rsid w:val="009B6D1B"/>
    <w:rsid w:val="009B7D3C"/>
    <w:rsid w:val="009C11EC"/>
    <w:rsid w:val="009C4E3A"/>
    <w:rsid w:val="009C7160"/>
    <w:rsid w:val="009D1BEE"/>
    <w:rsid w:val="009D1F1E"/>
    <w:rsid w:val="009D31E9"/>
    <w:rsid w:val="009D5567"/>
    <w:rsid w:val="009E0D6A"/>
    <w:rsid w:val="009E0D7A"/>
    <w:rsid w:val="009E13D0"/>
    <w:rsid w:val="009E3CEF"/>
    <w:rsid w:val="009E52DD"/>
    <w:rsid w:val="009E597C"/>
    <w:rsid w:val="009F1106"/>
    <w:rsid w:val="009F617D"/>
    <w:rsid w:val="009F6B2D"/>
    <w:rsid w:val="009F7628"/>
    <w:rsid w:val="00A00AA0"/>
    <w:rsid w:val="00A02F3B"/>
    <w:rsid w:val="00A02F5A"/>
    <w:rsid w:val="00A108ED"/>
    <w:rsid w:val="00A12B14"/>
    <w:rsid w:val="00A23287"/>
    <w:rsid w:val="00A25FE7"/>
    <w:rsid w:val="00A2655D"/>
    <w:rsid w:val="00A278E7"/>
    <w:rsid w:val="00A27F6A"/>
    <w:rsid w:val="00A32B0D"/>
    <w:rsid w:val="00A42E9E"/>
    <w:rsid w:val="00A45708"/>
    <w:rsid w:val="00A477E6"/>
    <w:rsid w:val="00A47CC0"/>
    <w:rsid w:val="00A52633"/>
    <w:rsid w:val="00A53AC2"/>
    <w:rsid w:val="00A54E57"/>
    <w:rsid w:val="00A57B8F"/>
    <w:rsid w:val="00A624CF"/>
    <w:rsid w:val="00A66A68"/>
    <w:rsid w:val="00A67351"/>
    <w:rsid w:val="00A72143"/>
    <w:rsid w:val="00A72264"/>
    <w:rsid w:val="00A72F34"/>
    <w:rsid w:val="00A8019E"/>
    <w:rsid w:val="00A80D01"/>
    <w:rsid w:val="00A87F06"/>
    <w:rsid w:val="00A90B49"/>
    <w:rsid w:val="00AA0C8C"/>
    <w:rsid w:val="00AA2ABF"/>
    <w:rsid w:val="00AA4208"/>
    <w:rsid w:val="00AA5584"/>
    <w:rsid w:val="00AA76DA"/>
    <w:rsid w:val="00AB4922"/>
    <w:rsid w:val="00AB4B4A"/>
    <w:rsid w:val="00AC018C"/>
    <w:rsid w:val="00AC2568"/>
    <w:rsid w:val="00AC35F0"/>
    <w:rsid w:val="00AC42D1"/>
    <w:rsid w:val="00AC51C3"/>
    <w:rsid w:val="00AC7FDD"/>
    <w:rsid w:val="00AD31F5"/>
    <w:rsid w:val="00AD3951"/>
    <w:rsid w:val="00AD4A88"/>
    <w:rsid w:val="00AD6A55"/>
    <w:rsid w:val="00AE0A57"/>
    <w:rsid w:val="00AE7349"/>
    <w:rsid w:val="00AE7392"/>
    <w:rsid w:val="00AE7825"/>
    <w:rsid w:val="00AF316B"/>
    <w:rsid w:val="00AF36C2"/>
    <w:rsid w:val="00AF38ED"/>
    <w:rsid w:val="00AF7312"/>
    <w:rsid w:val="00B009FD"/>
    <w:rsid w:val="00B05C11"/>
    <w:rsid w:val="00B0751F"/>
    <w:rsid w:val="00B11E46"/>
    <w:rsid w:val="00B14E5E"/>
    <w:rsid w:val="00B14F03"/>
    <w:rsid w:val="00B20543"/>
    <w:rsid w:val="00B3745C"/>
    <w:rsid w:val="00B37A6E"/>
    <w:rsid w:val="00B41146"/>
    <w:rsid w:val="00B44AE6"/>
    <w:rsid w:val="00B44B41"/>
    <w:rsid w:val="00B45310"/>
    <w:rsid w:val="00B55611"/>
    <w:rsid w:val="00B628B4"/>
    <w:rsid w:val="00B66F3D"/>
    <w:rsid w:val="00B67B52"/>
    <w:rsid w:val="00B71915"/>
    <w:rsid w:val="00B72E32"/>
    <w:rsid w:val="00B770F5"/>
    <w:rsid w:val="00B8115E"/>
    <w:rsid w:val="00B813DB"/>
    <w:rsid w:val="00B815F5"/>
    <w:rsid w:val="00B850C4"/>
    <w:rsid w:val="00B85214"/>
    <w:rsid w:val="00B87308"/>
    <w:rsid w:val="00B91E62"/>
    <w:rsid w:val="00B9225B"/>
    <w:rsid w:val="00B931ED"/>
    <w:rsid w:val="00B93B43"/>
    <w:rsid w:val="00BB0FE4"/>
    <w:rsid w:val="00BB3A26"/>
    <w:rsid w:val="00BB4892"/>
    <w:rsid w:val="00BC25A4"/>
    <w:rsid w:val="00BC31B2"/>
    <w:rsid w:val="00BC340B"/>
    <w:rsid w:val="00BD08D1"/>
    <w:rsid w:val="00BD248B"/>
    <w:rsid w:val="00BD4190"/>
    <w:rsid w:val="00BD6511"/>
    <w:rsid w:val="00BD6C83"/>
    <w:rsid w:val="00BE1133"/>
    <w:rsid w:val="00BE202D"/>
    <w:rsid w:val="00BE2B93"/>
    <w:rsid w:val="00BE2FB4"/>
    <w:rsid w:val="00BE3B67"/>
    <w:rsid w:val="00BE6955"/>
    <w:rsid w:val="00BE6F32"/>
    <w:rsid w:val="00BE7287"/>
    <w:rsid w:val="00BE7B15"/>
    <w:rsid w:val="00BF1746"/>
    <w:rsid w:val="00BF3145"/>
    <w:rsid w:val="00BF3F5E"/>
    <w:rsid w:val="00BF5BB1"/>
    <w:rsid w:val="00C01C7C"/>
    <w:rsid w:val="00C027D0"/>
    <w:rsid w:val="00C05DFF"/>
    <w:rsid w:val="00C137BB"/>
    <w:rsid w:val="00C150FC"/>
    <w:rsid w:val="00C15EBA"/>
    <w:rsid w:val="00C176D6"/>
    <w:rsid w:val="00C20070"/>
    <w:rsid w:val="00C2015E"/>
    <w:rsid w:val="00C201A6"/>
    <w:rsid w:val="00C206C1"/>
    <w:rsid w:val="00C23CE7"/>
    <w:rsid w:val="00C27E83"/>
    <w:rsid w:val="00C31054"/>
    <w:rsid w:val="00C31F63"/>
    <w:rsid w:val="00C329C1"/>
    <w:rsid w:val="00C3536D"/>
    <w:rsid w:val="00C35EC4"/>
    <w:rsid w:val="00C36462"/>
    <w:rsid w:val="00C36B5C"/>
    <w:rsid w:val="00C4103E"/>
    <w:rsid w:val="00C41743"/>
    <w:rsid w:val="00C45975"/>
    <w:rsid w:val="00C45A49"/>
    <w:rsid w:val="00C52554"/>
    <w:rsid w:val="00C52E3C"/>
    <w:rsid w:val="00C540E9"/>
    <w:rsid w:val="00C54719"/>
    <w:rsid w:val="00C56376"/>
    <w:rsid w:val="00C60352"/>
    <w:rsid w:val="00C61053"/>
    <w:rsid w:val="00C6120D"/>
    <w:rsid w:val="00C66C96"/>
    <w:rsid w:val="00C67A10"/>
    <w:rsid w:val="00C713C9"/>
    <w:rsid w:val="00C733F9"/>
    <w:rsid w:val="00C765A8"/>
    <w:rsid w:val="00C77758"/>
    <w:rsid w:val="00C85FBE"/>
    <w:rsid w:val="00C91854"/>
    <w:rsid w:val="00C93417"/>
    <w:rsid w:val="00C94E29"/>
    <w:rsid w:val="00C95C4F"/>
    <w:rsid w:val="00CA1A48"/>
    <w:rsid w:val="00CA3548"/>
    <w:rsid w:val="00CA53A9"/>
    <w:rsid w:val="00CA6502"/>
    <w:rsid w:val="00CA6929"/>
    <w:rsid w:val="00CA762E"/>
    <w:rsid w:val="00CB0DEA"/>
    <w:rsid w:val="00CB376B"/>
    <w:rsid w:val="00CB3EED"/>
    <w:rsid w:val="00CB6805"/>
    <w:rsid w:val="00CC095B"/>
    <w:rsid w:val="00CC0BF5"/>
    <w:rsid w:val="00CC1CF1"/>
    <w:rsid w:val="00CC1E10"/>
    <w:rsid w:val="00CC6E1A"/>
    <w:rsid w:val="00CE0569"/>
    <w:rsid w:val="00CE3D1C"/>
    <w:rsid w:val="00CF0E4D"/>
    <w:rsid w:val="00CF5CA7"/>
    <w:rsid w:val="00D010D3"/>
    <w:rsid w:val="00D013EC"/>
    <w:rsid w:val="00D0246C"/>
    <w:rsid w:val="00D0381B"/>
    <w:rsid w:val="00D03F35"/>
    <w:rsid w:val="00D049F9"/>
    <w:rsid w:val="00D054AF"/>
    <w:rsid w:val="00D07688"/>
    <w:rsid w:val="00D10B22"/>
    <w:rsid w:val="00D118E7"/>
    <w:rsid w:val="00D12703"/>
    <w:rsid w:val="00D1286F"/>
    <w:rsid w:val="00D13591"/>
    <w:rsid w:val="00D148E0"/>
    <w:rsid w:val="00D15D47"/>
    <w:rsid w:val="00D20E36"/>
    <w:rsid w:val="00D24652"/>
    <w:rsid w:val="00D260F7"/>
    <w:rsid w:val="00D332BD"/>
    <w:rsid w:val="00D34AC2"/>
    <w:rsid w:val="00D40650"/>
    <w:rsid w:val="00D42C57"/>
    <w:rsid w:val="00D42D46"/>
    <w:rsid w:val="00D51BE8"/>
    <w:rsid w:val="00D53CB6"/>
    <w:rsid w:val="00D54FF3"/>
    <w:rsid w:val="00D574C2"/>
    <w:rsid w:val="00D57523"/>
    <w:rsid w:val="00D628A6"/>
    <w:rsid w:val="00D64C13"/>
    <w:rsid w:val="00D65FC8"/>
    <w:rsid w:val="00D70EDC"/>
    <w:rsid w:val="00D70FA1"/>
    <w:rsid w:val="00D72098"/>
    <w:rsid w:val="00D72F09"/>
    <w:rsid w:val="00D73CE5"/>
    <w:rsid w:val="00D7594F"/>
    <w:rsid w:val="00D80079"/>
    <w:rsid w:val="00D82433"/>
    <w:rsid w:val="00D82A07"/>
    <w:rsid w:val="00D86B47"/>
    <w:rsid w:val="00D87A24"/>
    <w:rsid w:val="00D9407E"/>
    <w:rsid w:val="00D95C20"/>
    <w:rsid w:val="00D95D34"/>
    <w:rsid w:val="00D9627F"/>
    <w:rsid w:val="00D975F4"/>
    <w:rsid w:val="00DA0964"/>
    <w:rsid w:val="00DA1532"/>
    <w:rsid w:val="00DA1601"/>
    <w:rsid w:val="00DA2173"/>
    <w:rsid w:val="00DA2E0F"/>
    <w:rsid w:val="00DA3B0E"/>
    <w:rsid w:val="00DA4824"/>
    <w:rsid w:val="00DA7E60"/>
    <w:rsid w:val="00DB48BC"/>
    <w:rsid w:val="00DC03C4"/>
    <w:rsid w:val="00DC0667"/>
    <w:rsid w:val="00DC0A15"/>
    <w:rsid w:val="00DC7604"/>
    <w:rsid w:val="00DD244E"/>
    <w:rsid w:val="00DE2817"/>
    <w:rsid w:val="00DE3CF5"/>
    <w:rsid w:val="00DE3F0D"/>
    <w:rsid w:val="00DE47E8"/>
    <w:rsid w:val="00DE4AA0"/>
    <w:rsid w:val="00DF7104"/>
    <w:rsid w:val="00E01201"/>
    <w:rsid w:val="00E06575"/>
    <w:rsid w:val="00E0704A"/>
    <w:rsid w:val="00E0791B"/>
    <w:rsid w:val="00E104ED"/>
    <w:rsid w:val="00E13BC4"/>
    <w:rsid w:val="00E15E55"/>
    <w:rsid w:val="00E174C1"/>
    <w:rsid w:val="00E25B0A"/>
    <w:rsid w:val="00E32394"/>
    <w:rsid w:val="00E40748"/>
    <w:rsid w:val="00E41619"/>
    <w:rsid w:val="00E42463"/>
    <w:rsid w:val="00E43391"/>
    <w:rsid w:val="00E450CA"/>
    <w:rsid w:val="00E466C6"/>
    <w:rsid w:val="00E47157"/>
    <w:rsid w:val="00E5076C"/>
    <w:rsid w:val="00E51EB6"/>
    <w:rsid w:val="00E525D2"/>
    <w:rsid w:val="00E5537B"/>
    <w:rsid w:val="00E5565A"/>
    <w:rsid w:val="00E55BA6"/>
    <w:rsid w:val="00E560AF"/>
    <w:rsid w:val="00E565A8"/>
    <w:rsid w:val="00E57896"/>
    <w:rsid w:val="00E61B06"/>
    <w:rsid w:val="00E650D8"/>
    <w:rsid w:val="00E65508"/>
    <w:rsid w:val="00E65CC9"/>
    <w:rsid w:val="00E65D27"/>
    <w:rsid w:val="00E67C5A"/>
    <w:rsid w:val="00E7118B"/>
    <w:rsid w:val="00E73C7A"/>
    <w:rsid w:val="00E75FE0"/>
    <w:rsid w:val="00E80E70"/>
    <w:rsid w:val="00E81593"/>
    <w:rsid w:val="00E82D3B"/>
    <w:rsid w:val="00E83FAF"/>
    <w:rsid w:val="00E876A2"/>
    <w:rsid w:val="00E90E98"/>
    <w:rsid w:val="00E91772"/>
    <w:rsid w:val="00E9759E"/>
    <w:rsid w:val="00EA0F6B"/>
    <w:rsid w:val="00EA40E4"/>
    <w:rsid w:val="00EA4B9A"/>
    <w:rsid w:val="00EA4E00"/>
    <w:rsid w:val="00EA6667"/>
    <w:rsid w:val="00EB0B8E"/>
    <w:rsid w:val="00EB3A2F"/>
    <w:rsid w:val="00EB4FC8"/>
    <w:rsid w:val="00EB544D"/>
    <w:rsid w:val="00EB65EC"/>
    <w:rsid w:val="00EB72C4"/>
    <w:rsid w:val="00EB78BD"/>
    <w:rsid w:val="00EC30F3"/>
    <w:rsid w:val="00EC4DE2"/>
    <w:rsid w:val="00EC76E9"/>
    <w:rsid w:val="00ED0AE2"/>
    <w:rsid w:val="00ED3D7F"/>
    <w:rsid w:val="00ED5E07"/>
    <w:rsid w:val="00EE1854"/>
    <w:rsid w:val="00EE19BB"/>
    <w:rsid w:val="00EE327D"/>
    <w:rsid w:val="00EE76F9"/>
    <w:rsid w:val="00EF0B94"/>
    <w:rsid w:val="00EF144A"/>
    <w:rsid w:val="00EF226B"/>
    <w:rsid w:val="00EF3D76"/>
    <w:rsid w:val="00EF72B5"/>
    <w:rsid w:val="00F01681"/>
    <w:rsid w:val="00F01F88"/>
    <w:rsid w:val="00F03C68"/>
    <w:rsid w:val="00F0475A"/>
    <w:rsid w:val="00F05933"/>
    <w:rsid w:val="00F07FDC"/>
    <w:rsid w:val="00F13900"/>
    <w:rsid w:val="00F1437A"/>
    <w:rsid w:val="00F2019E"/>
    <w:rsid w:val="00F26B17"/>
    <w:rsid w:val="00F32A0C"/>
    <w:rsid w:val="00F357C3"/>
    <w:rsid w:val="00F36932"/>
    <w:rsid w:val="00F36B18"/>
    <w:rsid w:val="00F42F91"/>
    <w:rsid w:val="00F43155"/>
    <w:rsid w:val="00F433F8"/>
    <w:rsid w:val="00F435C1"/>
    <w:rsid w:val="00F444BB"/>
    <w:rsid w:val="00F44544"/>
    <w:rsid w:val="00F5071F"/>
    <w:rsid w:val="00F55835"/>
    <w:rsid w:val="00F61A10"/>
    <w:rsid w:val="00F61B52"/>
    <w:rsid w:val="00F62799"/>
    <w:rsid w:val="00F753D5"/>
    <w:rsid w:val="00F75808"/>
    <w:rsid w:val="00F75D8C"/>
    <w:rsid w:val="00F76AD9"/>
    <w:rsid w:val="00F77680"/>
    <w:rsid w:val="00F77D2B"/>
    <w:rsid w:val="00F80032"/>
    <w:rsid w:val="00F83D75"/>
    <w:rsid w:val="00F91FAB"/>
    <w:rsid w:val="00F937E0"/>
    <w:rsid w:val="00F95D60"/>
    <w:rsid w:val="00F96696"/>
    <w:rsid w:val="00FA4DC4"/>
    <w:rsid w:val="00FB015E"/>
    <w:rsid w:val="00FB27EB"/>
    <w:rsid w:val="00FB32B8"/>
    <w:rsid w:val="00FB5120"/>
    <w:rsid w:val="00FB685D"/>
    <w:rsid w:val="00FC3011"/>
    <w:rsid w:val="00FC42A0"/>
    <w:rsid w:val="00FC6900"/>
    <w:rsid w:val="00FD2F6C"/>
    <w:rsid w:val="00FD3175"/>
    <w:rsid w:val="00FD55AD"/>
    <w:rsid w:val="00FD568B"/>
    <w:rsid w:val="00FD5AC3"/>
    <w:rsid w:val="00FD6ADD"/>
    <w:rsid w:val="00FD7474"/>
    <w:rsid w:val="00FD7D8B"/>
    <w:rsid w:val="00FE24DE"/>
    <w:rsid w:val="00FE30AC"/>
    <w:rsid w:val="00FE3D4D"/>
    <w:rsid w:val="00FE4227"/>
    <w:rsid w:val="00FE659C"/>
    <w:rsid w:val="00FE7BAE"/>
    <w:rsid w:val="00FF4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C7A"/>
    <w:rPr>
      <w:sz w:val="24"/>
      <w:szCs w:val="24"/>
    </w:rPr>
  </w:style>
  <w:style w:type="paragraph" w:styleId="Heading1">
    <w:name w:val="heading 1"/>
    <w:basedOn w:val="Normal"/>
    <w:next w:val="Normal"/>
    <w:link w:val="Heading1Char"/>
    <w:uiPriority w:val="9"/>
    <w:qFormat/>
    <w:rsid w:val="00E73C7A"/>
    <w:pPr>
      <w:keepNext/>
      <w:numPr>
        <w:numId w:val="1"/>
      </w:numPr>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E73C7A"/>
    <w:pPr>
      <w:keepNext/>
      <w:numPr>
        <w:ilvl w:val="1"/>
        <w:numId w:val="1"/>
      </w:numPr>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E73C7A"/>
    <w:pPr>
      <w:keepNext/>
      <w:numPr>
        <w:ilvl w:val="2"/>
        <w:numId w:val="1"/>
      </w:numPr>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E73C7A"/>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unhideWhenUsed/>
    <w:qFormat/>
    <w:rsid w:val="00E73C7A"/>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E73C7A"/>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73C7A"/>
    <w:pPr>
      <w:numPr>
        <w:ilvl w:val="6"/>
        <w:numId w:val="1"/>
      </w:numPr>
      <w:spacing w:before="240" w:after="60"/>
      <w:outlineLvl w:val="6"/>
    </w:pPr>
  </w:style>
  <w:style w:type="paragraph" w:styleId="Heading8">
    <w:name w:val="heading 8"/>
    <w:basedOn w:val="Normal"/>
    <w:next w:val="Normal"/>
    <w:link w:val="Heading8Char"/>
    <w:uiPriority w:val="9"/>
    <w:semiHidden/>
    <w:unhideWhenUsed/>
    <w:qFormat/>
    <w:rsid w:val="00E73C7A"/>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E73C7A"/>
    <w:pPr>
      <w:numPr>
        <w:ilvl w:val="8"/>
        <w:numId w:val="1"/>
      </w:num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C7A"/>
    <w:rPr>
      <w:rFonts w:asciiTheme="majorHAnsi" w:eastAsiaTheme="majorEastAsia" w:hAnsiTheme="majorHAnsi"/>
      <w:b/>
      <w:bCs/>
      <w:kern w:val="32"/>
      <w:sz w:val="32"/>
      <w:szCs w:val="32"/>
    </w:rPr>
  </w:style>
  <w:style w:type="paragraph" w:styleId="Title">
    <w:name w:val="Title"/>
    <w:basedOn w:val="Normal"/>
    <w:next w:val="Normal"/>
    <w:link w:val="TitleChar"/>
    <w:uiPriority w:val="10"/>
    <w:qFormat/>
    <w:rsid w:val="00E73C7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E73C7A"/>
    <w:rPr>
      <w:rFonts w:asciiTheme="majorHAnsi" w:eastAsiaTheme="majorEastAsia" w:hAnsiTheme="majorHAnsi" w:cstheme="majorBidi"/>
      <w:b/>
      <w:bCs/>
      <w:kern w:val="28"/>
      <w:sz w:val="32"/>
      <w:szCs w:val="32"/>
    </w:rPr>
  </w:style>
  <w:style w:type="character" w:customStyle="1" w:styleId="Heading2Char">
    <w:name w:val="Heading 2 Char"/>
    <w:basedOn w:val="DefaultParagraphFont"/>
    <w:link w:val="Heading2"/>
    <w:uiPriority w:val="9"/>
    <w:rsid w:val="00E73C7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E73C7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73C7A"/>
    <w:rPr>
      <w:b/>
      <w:bCs/>
      <w:sz w:val="28"/>
      <w:szCs w:val="28"/>
    </w:rPr>
  </w:style>
  <w:style w:type="character" w:customStyle="1" w:styleId="Heading5Char">
    <w:name w:val="Heading 5 Char"/>
    <w:basedOn w:val="DefaultParagraphFont"/>
    <w:link w:val="Heading5"/>
    <w:uiPriority w:val="9"/>
    <w:rsid w:val="00E73C7A"/>
    <w:rPr>
      <w:b/>
      <w:bCs/>
      <w:i/>
      <w:iCs/>
      <w:sz w:val="26"/>
      <w:szCs w:val="26"/>
    </w:rPr>
  </w:style>
  <w:style w:type="character" w:customStyle="1" w:styleId="Heading6Char">
    <w:name w:val="Heading 6 Char"/>
    <w:basedOn w:val="DefaultParagraphFont"/>
    <w:link w:val="Heading6"/>
    <w:uiPriority w:val="9"/>
    <w:rsid w:val="00E73C7A"/>
    <w:rPr>
      <w:b/>
      <w:bCs/>
    </w:rPr>
  </w:style>
  <w:style w:type="character" w:customStyle="1" w:styleId="Heading7Char">
    <w:name w:val="Heading 7 Char"/>
    <w:basedOn w:val="DefaultParagraphFont"/>
    <w:link w:val="Heading7"/>
    <w:uiPriority w:val="9"/>
    <w:semiHidden/>
    <w:rsid w:val="00E73C7A"/>
    <w:rPr>
      <w:sz w:val="24"/>
      <w:szCs w:val="24"/>
    </w:rPr>
  </w:style>
  <w:style w:type="character" w:customStyle="1" w:styleId="Heading8Char">
    <w:name w:val="Heading 8 Char"/>
    <w:basedOn w:val="DefaultParagraphFont"/>
    <w:link w:val="Heading8"/>
    <w:uiPriority w:val="9"/>
    <w:semiHidden/>
    <w:rsid w:val="00E73C7A"/>
    <w:rPr>
      <w:i/>
      <w:iCs/>
      <w:sz w:val="24"/>
      <w:szCs w:val="24"/>
    </w:rPr>
  </w:style>
  <w:style w:type="character" w:customStyle="1" w:styleId="Heading9Char">
    <w:name w:val="Heading 9 Char"/>
    <w:basedOn w:val="DefaultParagraphFont"/>
    <w:link w:val="Heading9"/>
    <w:uiPriority w:val="9"/>
    <w:semiHidden/>
    <w:rsid w:val="00E73C7A"/>
    <w:rPr>
      <w:rFonts w:asciiTheme="majorHAnsi" w:eastAsiaTheme="majorEastAsia" w:hAnsiTheme="majorHAnsi"/>
    </w:rPr>
  </w:style>
  <w:style w:type="paragraph" w:styleId="Subtitle">
    <w:name w:val="Subtitle"/>
    <w:basedOn w:val="Normal"/>
    <w:next w:val="Normal"/>
    <w:link w:val="SubtitleChar"/>
    <w:uiPriority w:val="11"/>
    <w:qFormat/>
    <w:rsid w:val="00E73C7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73C7A"/>
    <w:rPr>
      <w:rFonts w:asciiTheme="majorHAnsi" w:eastAsiaTheme="majorEastAsia" w:hAnsiTheme="majorHAnsi"/>
      <w:sz w:val="24"/>
      <w:szCs w:val="24"/>
    </w:rPr>
  </w:style>
  <w:style w:type="character" w:styleId="Strong">
    <w:name w:val="Strong"/>
    <w:basedOn w:val="DefaultParagraphFont"/>
    <w:uiPriority w:val="22"/>
    <w:qFormat/>
    <w:rsid w:val="00E73C7A"/>
    <w:rPr>
      <w:b/>
      <w:bCs/>
    </w:rPr>
  </w:style>
  <w:style w:type="character" w:styleId="Emphasis">
    <w:name w:val="Emphasis"/>
    <w:basedOn w:val="DefaultParagraphFont"/>
    <w:uiPriority w:val="20"/>
    <w:qFormat/>
    <w:rsid w:val="00E73C7A"/>
    <w:rPr>
      <w:rFonts w:asciiTheme="minorHAnsi" w:hAnsiTheme="minorHAnsi"/>
      <w:b/>
      <w:i/>
      <w:iCs/>
    </w:rPr>
  </w:style>
  <w:style w:type="paragraph" w:styleId="NoSpacing">
    <w:name w:val="No Spacing"/>
    <w:basedOn w:val="Normal"/>
    <w:uiPriority w:val="1"/>
    <w:qFormat/>
    <w:rsid w:val="00E73C7A"/>
    <w:rPr>
      <w:szCs w:val="32"/>
    </w:rPr>
  </w:style>
  <w:style w:type="paragraph" w:styleId="ListParagraph">
    <w:name w:val="List Paragraph"/>
    <w:basedOn w:val="Normal"/>
    <w:uiPriority w:val="34"/>
    <w:qFormat/>
    <w:rsid w:val="00E73C7A"/>
    <w:pPr>
      <w:ind w:left="720"/>
      <w:contextualSpacing/>
    </w:pPr>
  </w:style>
  <w:style w:type="paragraph" w:styleId="Quote">
    <w:name w:val="Quote"/>
    <w:basedOn w:val="Normal"/>
    <w:next w:val="Normal"/>
    <w:link w:val="QuoteChar"/>
    <w:uiPriority w:val="29"/>
    <w:qFormat/>
    <w:rsid w:val="00E73C7A"/>
    <w:rPr>
      <w:i/>
    </w:rPr>
  </w:style>
  <w:style w:type="character" w:customStyle="1" w:styleId="QuoteChar">
    <w:name w:val="Quote Char"/>
    <w:basedOn w:val="DefaultParagraphFont"/>
    <w:link w:val="Quote"/>
    <w:uiPriority w:val="29"/>
    <w:rsid w:val="00E73C7A"/>
    <w:rPr>
      <w:i/>
      <w:sz w:val="24"/>
      <w:szCs w:val="24"/>
    </w:rPr>
  </w:style>
  <w:style w:type="paragraph" w:styleId="IntenseQuote">
    <w:name w:val="Intense Quote"/>
    <w:basedOn w:val="Normal"/>
    <w:next w:val="Normal"/>
    <w:link w:val="IntenseQuoteChar"/>
    <w:uiPriority w:val="30"/>
    <w:qFormat/>
    <w:rsid w:val="00E73C7A"/>
    <w:pPr>
      <w:ind w:left="720" w:right="720"/>
    </w:pPr>
    <w:rPr>
      <w:b/>
      <w:i/>
      <w:szCs w:val="22"/>
    </w:rPr>
  </w:style>
  <w:style w:type="character" w:customStyle="1" w:styleId="IntenseQuoteChar">
    <w:name w:val="Intense Quote Char"/>
    <w:basedOn w:val="DefaultParagraphFont"/>
    <w:link w:val="IntenseQuote"/>
    <w:uiPriority w:val="30"/>
    <w:rsid w:val="00E73C7A"/>
    <w:rPr>
      <w:b/>
      <w:i/>
      <w:sz w:val="24"/>
    </w:rPr>
  </w:style>
  <w:style w:type="character" w:styleId="SubtleEmphasis">
    <w:name w:val="Subtle Emphasis"/>
    <w:uiPriority w:val="19"/>
    <w:qFormat/>
    <w:rsid w:val="00E73C7A"/>
    <w:rPr>
      <w:i/>
      <w:color w:val="5A5A5A" w:themeColor="text1" w:themeTint="A5"/>
    </w:rPr>
  </w:style>
  <w:style w:type="character" w:styleId="IntenseEmphasis">
    <w:name w:val="Intense Emphasis"/>
    <w:basedOn w:val="DefaultParagraphFont"/>
    <w:uiPriority w:val="21"/>
    <w:qFormat/>
    <w:rsid w:val="00E73C7A"/>
    <w:rPr>
      <w:b/>
      <w:i/>
      <w:sz w:val="24"/>
      <w:szCs w:val="24"/>
      <w:u w:val="single"/>
    </w:rPr>
  </w:style>
  <w:style w:type="character" w:styleId="SubtleReference">
    <w:name w:val="Subtle Reference"/>
    <w:basedOn w:val="DefaultParagraphFont"/>
    <w:uiPriority w:val="31"/>
    <w:qFormat/>
    <w:rsid w:val="00E73C7A"/>
    <w:rPr>
      <w:sz w:val="24"/>
      <w:szCs w:val="24"/>
      <w:u w:val="single"/>
    </w:rPr>
  </w:style>
  <w:style w:type="character" w:styleId="IntenseReference">
    <w:name w:val="Intense Reference"/>
    <w:basedOn w:val="DefaultParagraphFont"/>
    <w:uiPriority w:val="32"/>
    <w:qFormat/>
    <w:rsid w:val="00E73C7A"/>
    <w:rPr>
      <w:b/>
      <w:sz w:val="24"/>
      <w:u w:val="single"/>
    </w:rPr>
  </w:style>
  <w:style w:type="character" w:styleId="BookTitle">
    <w:name w:val="Book Title"/>
    <w:basedOn w:val="DefaultParagraphFont"/>
    <w:uiPriority w:val="33"/>
    <w:qFormat/>
    <w:rsid w:val="00E73C7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73C7A"/>
    <w:pPr>
      <w:outlineLvl w:val="9"/>
    </w:pPr>
  </w:style>
  <w:style w:type="paragraph" w:styleId="FootnoteText">
    <w:name w:val="footnote text"/>
    <w:basedOn w:val="Normal"/>
    <w:link w:val="FootnoteTextChar"/>
    <w:uiPriority w:val="99"/>
    <w:semiHidden/>
    <w:unhideWhenUsed/>
    <w:rsid w:val="003C11E3"/>
    <w:rPr>
      <w:sz w:val="20"/>
      <w:szCs w:val="20"/>
    </w:rPr>
  </w:style>
  <w:style w:type="paragraph" w:styleId="BodyText">
    <w:name w:val="Body Text"/>
    <w:basedOn w:val="Normal"/>
    <w:link w:val="BodyTextChar"/>
    <w:uiPriority w:val="99"/>
    <w:unhideWhenUsed/>
    <w:rsid w:val="009E0D6A"/>
    <w:pPr>
      <w:spacing w:after="120"/>
    </w:pPr>
  </w:style>
  <w:style w:type="character" w:customStyle="1" w:styleId="BodyTextChar">
    <w:name w:val="Body Text Char"/>
    <w:basedOn w:val="DefaultParagraphFont"/>
    <w:link w:val="BodyText"/>
    <w:uiPriority w:val="99"/>
    <w:rsid w:val="009E0D6A"/>
    <w:rPr>
      <w:sz w:val="24"/>
      <w:szCs w:val="24"/>
    </w:rPr>
  </w:style>
  <w:style w:type="character" w:customStyle="1" w:styleId="FootnoteTextChar">
    <w:name w:val="Footnote Text Char"/>
    <w:basedOn w:val="DefaultParagraphFont"/>
    <w:link w:val="FootnoteText"/>
    <w:uiPriority w:val="99"/>
    <w:semiHidden/>
    <w:rsid w:val="003C11E3"/>
    <w:rPr>
      <w:sz w:val="20"/>
      <w:szCs w:val="20"/>
    </w:rPr>
  </w:style>
  <w:style w:type="character" w:styleId="FootnoteReference">
    <w:name w:val="footnote reference"/>
    <w:basedOn w:val="DefaultParagraphFont"/>
    <w:uiPriority w:val="99"/>
    <w:semiHidden/>
    <w:unhideWhenUsed/>
    <w:rsid w:val="003C11E3"/>
    <w:rPr>
      <w:vertAlign w:val="superscript"/>
    </w:rPr>
  </w:style>
  <w:style w:type="character" w:customStyle="1" w:styleId="apple-converted-space">
    <w:name w:val="apple-converted-space"/>
    <w:basedOn w:val="DefaultParagraphFont"/>
    <w:rsid w:val="007456BE"/>
  </w:style>
  <w:style w:type="character" w:styleId="Hyperlink">
    <w:name w:val="Hyperlink"/>
    <w:basedOn w:val="DefaultParagraphFont"/>
    <w:uiPriority w:val="99"/>
    <w:unhideWhenUsed/>
    <w:rsid w:val="00660255"/>
    <w:rPr>
      <w:color w:val="0000FF"/>
      <w:u w:val="single"/>
    </w:rPr>
  </w:style>
  <w:style w:type="character" w:styleId="CommentReference">
    <w:name w:val="annotation reference"/>
    <w:basedOn w:val="DefaultParagraphFont"/>
    <w:uiPriority w:val="99"/>
    <w:semiHidden/>
    <w:unhideWhenUsed/>
    <w:rsid w:val="00660255"/>
    <w:rPr>
      <w:sz w:val="16"/>
      <w:szCs w:val="16"/>
    </w:rPr>
  </w:style>
  <w:style w:type="paragraph" w:styleId="CommentText">
    <w:name w:val="annotation text"/>
    <w:basedOn w:val="Normal"/>
    <w:link w:val="CommentTextChar"/>
    <w:uiPriority w:val="99"/>
    <w:semiHidden/>
    <w:unhideWhenUsed/>
    <w:rsid w:val="00660255"/>
    <w:rPr>
      <w:sz w:val="20"/>
      <w:szCs w:val="20"/>
    </w:rPr>
  </w:style>
  <w:style w:type="character" w:customStyle="1" w:styleId="CommentTextChar">
    <w:name w:val="Comment Text Char"/>
    <w:basedOn w:val="DefaultParagraphFont"/>
    <w:link w:val="CommentText"/>
    <w:uiPriority w:val="99"/>
    <w:semiHidden/>
    <w:rsid w:val="00660255"/>
    <w:rPr>
      <w:sz w:val="20"/>
      <w:szCs w:val="20"/>
    </w:rPr>
  </w:style>
  <w:style w:type="paragraph" w:styleId="CommentSubject">
    <w:name w:val="annotation subject"/>
    <w:basedOn w:val="CommentText"/>
    <w:next w:val="CommentText"/>
    <w:link w:val="CommentSubjectChar"/>
    <w:uiPriority w:val="99"/>
    <w:semiHidden/>
    <w:unhideWhenUsed/>
    <w:rsid w:val="00660255"/>
    <w:rPr>
      <w:b/>
      <w:bCs/>
    </w:rPr>
  </w:style>
  <w:style w:type="character" w:customStyle="1" w:styleId="CommentSubjectChar">
    <w:name w:val="Comment Subject Char"/>
    <w:basedOn w:val="CommentTextChar"/>
    <w:link w:val="CommentSubject"/>
    <w:uiPriority w:val="99"/>
    <w:semiHidden/>
    <w:rsid w:val="00660255"/>
    <w:rPr>
      <w:b/>
      <w:bCs/>
      <w:sz w:val="20"/>
      <w:szCs w:val="20"/>
    </w:rPr>
  </w:style>
  <w:style w:type="paragraph" w:styleId="BalloonText">
    <w:name w:val="Balloon Text"/>
    <w:basedOn w:val="Normal"/>
    <w:link w:val="BalloonTextChar"/>
    <w:uiPriority w:val="99"/>
    <w:semiHidden/>
    <w:unhideWhenUsed/>
    <w:rsid w:val="00660255"/>
    <w:rPr>
      <w:rFonts w:ascii="Tahoma" w:hAnsi="Tahoma" w:cs="Tahoma"/>
      <w:sz w:val="16"/>
      <w:szCs w:val="16"/>
    </w:rPr>
  </w:style>
  <w:style w:type="character" w:customStyle="1" w:styleId="BalloonTextChar">
    <w:name w:val="Balloon Text Char"/>
    <w:basedOn w:val="DefaultParagraphFont"/>
    <w:link w:val="BalloonText"/>
    <w:uiPriority w:val="99"/>
    <w:semiHidden/>
    <w:rsid w:val="00660255"/>
    <w:rPr>
      <w:rFonts w:ascii="Tahoma" w:hAnsi="Tahoma" w:cs="Tahoma"/>
      <w:sz w:val="16"/>
      <w:szCs w:val="16"/>
    </w:rPr>
  </w:style>
  <w:style w:type="paragraph" w:styleId="Revision">
    <w:name w:val="Revision"/>
    <w:hidden/>
    <w:uiPriority w:val="99"/>
    <w:semiHidden/>
    <w:rsid w:val="00660255"/>
    <w:rPr>
      <w:sz w:val="24"/>
      <w:szCs w:val="24"/>
    </w:rPr>
  </w:style>
  <w:style w:type="character" w:styleId="HTMLCite">
    <w:name w:val="HTML Cite"/>
    <w:basedOn w:val="DefaultParagraphFont"/>
    <w:uiPriority w:val="99"/>
    <w:semiHidden/>
    <w:unhideWhenUsed/>
    <w:rsid w:val="00784BE7"/>
    <w:rPr>
      <w:i/>
      <w:iCs/>
    </w:rPr>
  </w:style>
  <w:style w:type="character" w:styleId="PlaceholderText">
    <w:name w:val="Placeholder Text"/>
    <w:basedOn w:val="DefaultParagraphFont"/>
    <w:uiPriority w:val="99"/>
    <w:semiHidden/>
    <w:rsid w:val="001A456C"/>
    <w:rPr>
      <w:color w:val="808080"/>
    </w:rPr>
  </w:style>
  <w:style w:type="paragraph" w:styleId="Header">
    <w:name w:val="header"/>
    <w:basedOn w:val="Normal"/>
    <w:link w:val="HeaderChar"/>
    <w:uiPriority w:val="99"/>
    <w:unhideWhenUsed/>
    <w:rsid w:val="00E42463"/>
    <w:pPr>
      <w:tabs>
        <w:tab w:val="center" w:pos="4680"/>
        <w:tab w:val="right" w:pos="9360"/>
      </w:tabs>
    </w:pPr>
  </w:style>
  <w:style w:type="character" w:customStyle="1" w:styleId="HeaderChar">
    <w:name w:val="Header Char"/>
    <w:basedOn w:val="DefaultParagraphFont"/>
    <w:link w:val="Header"/>
    <w:uiPriority w:val="99"/>
    <w:rsid w:val="00E42463"/>
    <w:rPr>
      <w:sz w:val="24"/>
      <w:szCs w:val="24"/>
    </w:rPr>
  </w:style>
  <w:style w:type="paragraph" w:styleId="Footer">
    <w:name w:val="footer"/>
    <w:basedOn w:val="Normal"/>
    <w:link w:val="FooterChar"/>
    <w:uiPriority w:val="99"/>
    <w:unhideWhenUsed/>
    <w:rsid w:val="00E42463"/>
    <w:pPr>
      <w:tabs>
        <w:tab w:val="center" w:pos="4680"/>
        <w:tab w:val="right" w:pos="9360"/>
      </w:tabs>
    </w:pPr>
  </w:style>
  <w:style w:type="character" w:customStyle="1" w:styleId="FooterChar">
    <w:name w:val="Footer Char"/>
    <w:basedOn w:val="DefaultParagraphFont"/>
    <w:link w:val="Footer"/>
    <w:uiPriority w:val="99"/>
    <w:rsid w:val="00E42463"/>
    <w:rPr>
      <w:sz w:val="24"/>
      <w:szCs w:val="24"/>
    </w:rPr>
  </w:style>
  <w:style w:type="paragraph" w:styleId="Caption">
    <w:name w:val="caption"/>
    <w:basedOn w:val="Normal"/>
    <w:next w:val="Normal"/>
    <w:uiPriority w:val="35"/>
    <w:unhideWhenUsed/>
    <w:rsid w:val="009F1106"/>
    <w:pPr>
      <w:spacing w:after="200"/>
    </w:pPr>
    <w:rPr>
      <w:b/>
      <w:bCs/>
      <w:color w:val="4F81BD" w:themeColor="accent1"/>
      <w:sz w:val="18"/>
      <w:szCs w:val="18"/>
    </w:rPr>
  </w:style>
  <w:style w:type="table" w:styleId="TableGrid">
    <w:name w:val="Table Grid"/>
    <w:basedOn w:val="TableNormal"/>
    <w:uiPriority w:val="59"/>
    <w:rsid w:val="00CC0B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itle">
    <w:name w:val="ttitle"/>
    <w:basedOn w:val="DefaultParagraphFont"/>
    <w:rsid w:val="00C45975"/>
  </w:style>
  <w:style w:type="character" w:customStyle="1" w:styleId="label">
    <w:name w:val="label"/>
    <w:basedOn w:val="DefaultParagraphFont"/>
    <w:rsid w:val="00C45975"/>
  </w:style>
  <w:style w:type="character" w:customStyle="1" w:styleId="bullet">
    <w:name w:val="bullet"/>
    <w:basedOn w:val="DefaultParagraphFont"/>
    <w:rsid w:val="00C45975"/>
  </w:style>
  <w:style w:type="paragraph" w:styleId="NormalWeb">
    <w:name w:val="Normal (Web)"/>
    <w:basedOn w:val="Normal"/>
    <w:uiPriority w:val="99"/>
    <w:unhideWhenUsed/>
    <w:rsid w:val="00C45975"/>
    <w:pPr>
      <w:spacing w:before="100" w:beforeAutospacing="1" w:after="100" w:afterAutospacing="1"/>
    </w:pPr>
    <w:rPr>
      <w:rFonts w:ascii="Times New Roman" w:eastAsia="Times New Roman" w:hAnsi="Times New Roman"/>
    </w:rPr>
  </w:style>
  <w:style w:type="character" w:styleId="FollowedHyperlink">
    <w:name w:val="FollowedHyperlink"/>
    <w:basedOn w:val="DefaultParagraphFont"/>
    <w:uiPriority w:val="99"/>
    <w:semiHidden/>
    <w:unhideWhenUsed/>
    <w:rsid w:val="00BE2B9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C7A"/>
    <w:rPr>
      <w:sz w:val="24"/>
      <w:szCs w:val="24"/>
    </w:rPr>
  </w:style>
  <w:style w:type="paragraph" w:styleId="Heading1">
    <w:name w:val="heading 1"/>
    <w:basedOn w:val="Normal"/>
    <w:next w:val="Normal"/>
    <w:link w:val="Heading1Char"/>
    <w:uiPriority w:val="9"/>
    <w:qFormat/>
    <w:rsid w:val="00E73C7A"/>
    <w:pPr>
      <w:keepNext/>
      <w:numPr>
        <w:numId w:val="1"/>
      </w:numPr>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E73C7A"/>
    <w:pPr>
      <w:keepNext/>
      <w:numPr>
        <w:ilvl w:val="1"/>
        <w:numId w:val="1"/>
      </w:numPr>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E73C7A"/>
    <w:pPr>
      <w:keepNext/>
      <w:numPr>
        <w:ilvl w:val="2"/>
        <w:numId w:val="1"/>
      </w:numPr>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E73C7A"/>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unhideWhenUsed/>
    <w:qFormat/>
    <w:rsid w:val="00E73C7A"/>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E73C7A"/>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73C7A"/>
    <w:pPr>
      <w:numPr>
        <w:ilvl w:val="6"/>
        <w:numId w:val="1"/>
      </w:numPr>
      <w:spacing w:before="240" w:after="60"/>
      <w:outlineLvl w:val="6"/>
    </w:pPr>
  </w:style>
  <w:style w:type="paragraph" w:styleId="Heading8">
    <w:name w:val="heading 8"/>
    <w:basedOn w:val="Normal"/>
    <w:next w:val="Normal"/>
    <w:link w:val="Heading8Char"/>
    <w:uiPriority w:val="9"/>
    <w:semiHidden/>
    <w:unhideWhenUsed/>
    <w:qFormat/>
    <w:rsid w:val="00E73C7A"/>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E73C7A"/>
    <w:pPr>
      <w:numPr>
        <w:ilvl w:val="8"/>
        <w:numId w:val="1"/>
      </w:num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C7A"/>
    <w:rPr>
      <w:rFonts w:asciiTheme="majorHAnsi" w:eastAsiaTheme="majorEastAsia" w:hAnsiTheme="majorHAnsi"/>
      <w:b/>
      <w:bCs/>
      <w:kern w:val="32"/>
      <w:sz w:val="32"/>
      <w:szCs w:val="32"/>
    </w:rPr>
  </w:style>
  <w:style w:type="paragraph" w:styleId="Title">
    <w:name w:val="Title"/>
    <w:basedOn w:val="Normal"/>
    <w:next w:val="Normal"/>
    <w:link w:val="TitleChar"/>
    <w:uiPriority w:val="10"/>
    <w:qFormat/>
    <w:rsid w:val="00E73C7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E73C7A"/>
    <w:rPr>
      <w:rFonts w:asciiTheme="majorHAnsi" w:eastAsiaTheme="majorEastAsia" w:hAnsiTheme="majorHAnsi" w:cstheme="majorBidi"/>
      <w:b/>
      <w:bCs/>
      <w:kern w:val="28"/>
      <w:sz w:val="32"/>
      <w:szCs w:val="32"/>
    </w:rPr>
  </w:style>
  <w:style w:type="character" w:customStyle="1" w:styleId="Heading2Char">
    <w:name w:val="Heading 2 Char"/>
    <w:basedOn w:val="DefaultParagraphFont"/>
    <w:link w:val="Heading2"/>
    <w:uiPriority w:val="9"/>
    <w:rsid w:val="00E73C7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E73C7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73C7A"/>
    <w:rPr>
      <w:b/>
      <w:bCs/>
      <w:sz w:val="28"/>
      <w:szCs w:val="28"/>
    </w:rPr>
  </w:style>
  <w:style w:type="character" w:customStyle="1" w:styleId="Heading5Char">
    <w:name w:val="Heading 5 Char"/>
    <w:basedOn w:val="DefaultParagraphFont"/>
    <w:link w:val="Heading5"/>
    <w:uiPriority w:val="9"/>
    <w:rsid w:val="00E73C7A"/>
    <w:rPr>
      <w:b/>
      <w:bCs/>
      <w:i/>
      <w:iCs/>
      <w:sz w:val="26"/>
      <w:szCs w:val="26"/>
    </w:rPr>
  </w:style>
  <w:style w:type="character" w:customStyle="1" w:styleId="Heading6Char">
    <w:name w:val="Heading 6 Char"/>
    <w:basedOn w:val="DefaultParagraphFont"/>
    <w:link w:val="Heading6"/>
    <w:uiPriority w:val="9"/>
    <w:rsid w:val="00E73C7A"/>
    <w:rPr>
      <w:b/>
      <w:bCs/>
    </w:rPr>
  </w:style>
  <w:style w:type="character" w:customStyle="1" w:styleId="Heading7Char">
    <w:name w:val="Heading 7 Char"/>
    <w:basedOn w:val="DefaultParagraphFont"/>
    <w:link w:val="Heading7"/>
    <w:uiPriority w:val="9"/>
    <w:semiHidden/>
    <w:rsid w:val="00E73C7A"/>
    <w:rPr>
      <w:sz w:val="24"/>
      <w:szCs w:val="24"/>
    </w:rPr>
  </w:style>
  <w:style w:type="character" w:customStyle="1" w:styleId="Heading8Char">
    <w:name w:val="Heading 8 Char"/>
    <w:basedOn w:val="DefaultParagraphFont"/>
    <w:link w:val="Heading8"/>
    <w:uiPriority w:val="9"/>
    <w:semiHidden/>
    <w:rsid w:val="00E73C7A"/>
    <w:rPr>
      <w:i/>
      <w:iCs/>
      <w:sz w:val="24"/>
      <w:szCs w:val="24"/>
    </w:rPr>
  </w:style>
  <w:style w:type="character" w:customStyle="1" w:styleId="Heading9Char">
    <w:name w:val="Heading 9 Char"/>
    <w:basedOn w:val="DefaultParagraphFont"/>
    <w:link w:val="Heading9"/>
    <w:uiPriority w:val="9"/>
    <w:semiHidden/>
    <w:rsid w:val="00E73C7A"/>
    <w:rPr>
      <w:rFonts w:asciiTheme="majorHAnsi" w:eastAsiaTheme="majorEastAsia" w:hAnsiTheme="majorHAnsi"/>
    </w:rPr>
  </w:style>
  <w:style w:type="paragraph" w:styleId="Subtitle">
    <w:name w:val="Subtitle"/>
    <w:basedOn w:val="Normal"/>
    <w:next w:val="Normal"/>
    <w:link w:val="SubtitleChar"/>
    <w:uiPriority w:val="11"/>
    <w:qFormat/>
    <w:rsid w:val="00E73C7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73C7A"/>
    <w:rPr>
      <w:rFonts w:asciiTheme="majorHAnsi" w:eastAsiaTheme="majorEastAsia" w:hAnsiTheme="majorHAnsi"/>
      <w:sz w:val="24"/>
      <w:szCs w:val="24"/>
    </w:rPr>
  </w:style>
  <w:style w:type="character" w:styleId="Strong">
    <w:name w:val="Strong"/>
    <w:basedOn w:val="DefaultParagraphFont"/>
    <w:uiPriority w:val="22"/>
    <w:qFormat/>
    <w:rsid w:val="00E73C7A"/>
    <w:rPr>
      <w:b/>
      <w:bCs/>
    </w:rPr>
  </w:style>
  <w:style w:type="character" w:styleId="Emphasis">
    <w:name w:val="Emphasis"/>
    <w:basedOn w:val="DefaultParagraphFont"/>
    <w:uiPriority w:val="20"/>
    <w:qFormat/>
    <w:rsid w:val="00E73C7A"/>
    <w:rPr>
      <w:rFonts w:asciiTheme="minorHAnsi" w:hAnsiTheme="minorHAnsi"/>
      <w:b/>
      <w:i/>
      <w:iCs/>
    </w:rPr>
  </w:style>
  <w:style w:type="paragraph" w:styleId="NoSpacing">
    <w:name w:val="No Spacing"/>
    <w:basedOn w:val="Normal"/>
    <w:uiPriority w:val="1"/>
    <w:qFormat/>
    <w:rsid w:val="00E73C7A"/>
    <w:rPr>
      <w:szCs w:val="32"/>
    </w:rPr>
  </w:style>
  <w:style w:type="paragraph" w:styleId="ListParagraph">
    <w:name w:val="List Paragraph"/>
    <w:basedOn w:val="Normal"/>
    <w:uiPriority w:val="34"/>
    <w:qFormat/>
    <w:rsid w:val="00E73C7A"/>
    <w:pPr>
      <w:ind w:left="720"/>
      <w:contextualSpacing/>
    </w:pPr>
  </w:style>
  <w:style w:type="paragraph" w:styleId="Quote">
    <w:name w:val="Quote"/>
    <w:basedOn w:val="Normal"/>
    <w:next w:val="Normal"/>
    <w:link w:val="QuoteChar"/>
    <w:uiPriority w:val="29"/>
    <w:qFormat/>
    <w:rsid w:val="00E73C7A"/>
    <w:rPr>
      <w:i/>
    </w:rPr>
  </w:style>
  <w:style w:type="character" w:customStyle="1" w:styleId="QuoteChar">
    <w:name w:val="Quote Char"/>
    <w:basedOn w:val="DefaultParagraphFont"/>
    <w:link w:val="Quote"/>
    <w:uiPriority w:val="29"/>
    <w:rsid w:val="00E73C7A"/>
    <w:rPr>
      <w:i/>
      <w:sz w:val="24"/>
      <w:szCs w:val="24"/>
    </w:rPr>
  </w:style>
  <w:style w:type="paragraph" w:styleId="IntenseQuote">
    <w:name w:val="Intense Quote"/>
    <w:basedOn w:val="Normal"/>
    <w:next w:val="Normal"/>
    <w:link w:val="IntenseQuoteChar"/>
    <w:uiPriority w:val="30"/>
    <w:qFormat/>
    <w:rsid w:val="00E73C7A"/>
    <w:pPr>
      <w:ind w:left="720" w:right="720"/>
    </w:pPr>
    <w:rPr>
      <w:b/>
      <w:i/>
      <w:szCs w:val="22"/>
    </w:rPr>
  </w:style>
  <w:style w:type="character" w:customStyle="1" w:styleId="IntenseQuoteChar">
    <w:name w:val="Intense Quote Char"/>
    <w:basedOn w:val="DefaultParagraphFont"/>
    <w:link w:val="IntenseQuote"/>
    <w:uiPriority w:val="30"/>
    <w:rsid w:val="00E73C7A"/>
    <w:rPr>
      <w:b/>
      <w:i/>
      <w:sz w:val="24"/>
    </w:rPr>
  </w:style>
  <w:style w:type="character" w:styleId="SubtleEmphasis">
    <w:name w:val="Subtle Emphasis"/>
    <w:uiPriority w:val="19"/>
    <w:qFormat/>
    <w:rsid w:val="00E73C7A"/>
    <w:rPr>
      <w:i/>
      <w:color w:val="5A5A5A" w:themeColor="text1" w:themeTint="A5"/>
    </w:rPr>
  </w:style>
  <w:style w:type="character" w:styleId="IntenseEmphasis">
    <w:name w:val="Intense Emphasis"/>
    <w:basedOn w:val="DefaultParagraphFont"/>
    <w:uiPriority w:val="21"/>
    <w:qFormat/>
    <w:rsid w:val="00E73C7A"/>
    <w:rPr>
      <w:b/>
      <w:i/>
      <w:sz w:val="24"/>
      <w:szCs w:val="24"/>
      <w:u w:val="single"/>
    </w:rPr>
  </w:style>
  <w:style w:type="character" w:styleId="SubtleReference">
    <w:name w:val="Subtle Reference"/>
    <w:basedOn w:val="DefaultParagraphFont"/>
    <w:uiPriority w:val="31"/>
    <w:qFormat/>
    <w:rsid w:val="00E73C7A"/>
    <w:rPr>
      <w:sz w:val="24"/>
      <w:szCs w:val="24"/>
      <w:u w:val="single"/>
    </w:rPr>
  </w:style>
  <w:style w:type="character" w:styleId="IntenseReference">
    <w:name w:val="Intense Reference"/>
    <w:basedOn w:val="DefaultParagraphFont"/>
    <w:uiPriority w:val="32"/>
    <w:qFormat/>
    <w:rsid w:val="00E73C7A"/>
    <w:rPr>
      <w:b/>
      <w:sz w:val="24"/>
      <w:u w:val="single"/>
    </w:rPr>
  </w:style>
  <w:style w:type="character" w:styleId="BookTitle">
    <w:name w:val="Book Title"/>
    <w:basedOn w:val="DefaultParagraphFont"/>
    <w:uiPriority w:val="33"/>
    <w:qFormat/>
    <w:rsid w:val="00E73C7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73C7A"/>
    <w:pPr>
      <w:outlineLvl w:val="9"/>
    </w:pPr>
  </w:style>
  <w:style w:type="paragraph" w:styleId="FootnoteText">
    <w:name w:val="footnote text"/>
    <w:basedOn w:val="Normal"/>
    <w:link w:val="FootnoteTextChar"/>
    <w:uiPriority w:val="99"/>
    <w:semiHidden/>
    <w:unhideWhenUsed/>
    <w:rsid w:val="003C11E3"/>
    <w:rPr>
      <w:sz w:val="20"/>
      <w:szCs w:val="20"/>
    </w:rPr>
  </w:style>
  <w:style w:type="paragraph" w:styleId="BodyText">
    <w:name w:val="Body Text"/>
    <w:basedOn w:val="Normal"/>
    <w:link w:val="BodyTextChar"/>
    <w:uiPriority w:val="99"/>
    <w:unhideWhenUsed/>
    <w:rsid w:val="009E0D6A"/>
    <w:pPr>
      <w:spacing w:after="120"/>
    </w:pPr>
  </w:style>
  <w:style w:type="character" w:customStyle="1" w:styleId="BodyTextChar">
    <w:name w:val="Body Text Char"/>
    <w:basedOn w:val="DefaultParagraphFont"/>
    <w:link w:val="BodyText"/>
    <w:uiPriority w:val="99"/>
    <w:rsid w:val="009E0D6A"/>
    <w:rPr>
      <w:sz w:val="24"/>
      <w:szCs w:val="24"/>
    </w:rPr>
  </w:style>
  <w:style w:type="character" w:customStyle="1" w:styleId="FootnoteTextChar">
    <w:name w:val="Footnote Text Char"/>
    <w:basedOn w:val="DefaultParagraphFont"/>
    <w:link w:val="FootnoteText"/>
    <w:uiPriority w:val="99"/>
    <w:semiHidden/>
    <w:rsid w:val="003C11E3"/>
    <w:rPr>
      <w:sz w:val="20"/>
      <w:szCs w:val="20"/>
    </w:rPr>
  </w:style>
  <w:style w:type="character" w:styleId="FootnoteReference">
    <w:name w:val="footnote reference"/>
    <w:basedOn w:val="DefaultParagraphFont"/>
    <w:uiPriority w:val="99"/>
    <w:semiHidden/>
    <w:unhideWhenUsed/>
    <w:rsid w:val="003C11E3"/>
    <w:rPr>
      <w:vertAlign w:val="superscript"/>
    </w:rPr>
  </w:style>
  <w:style w:type="character" w:customStyle="1" w:styleId="apple-converted-space">
    <w:name w:val="apple-converted-space"/>
    <w:basedOn w:val="DefaultParagraphFont"/>
    <w:rsid w:val="007456BE"/>
  </w:style>
  <w:style w:type="character" w:styleId="Hyperlink">
    <w:name w:val="Hyperlink"/>
    <w:basedOn w:val="DefaultParagraphFont"/>
    <w:uiPriority w:val="99"/>
    <w:unhideWhenUsed/>
    <w:rsid w:val="00660255"/>
    <w:rPr>
      <w:color w:val="0000FF"/>
      <w:u w:val="single"/>
    </w:rPr>
  </w:style>
  <w:style w:type="character" w:styleId="CommentReference">
    <w:name w:val="annotation reference"/>
    <w:basedOn w:val="DefaultParagraphFont"/>
    <w:uiPriority w:val="99"/>
    <w:semiHidden/>
    <w:unhideWhenUsed/>
    <w:rsid w:val="00660255"/>
    <w:rPr>
      <w:sz w:val="16"/>
      <w:szCs w:val="16"/>
    </w:rPr>
  </w:style>
  <w:style w:type="paragraph" w:styleId="CommentText">
    <w:name w:val="annotation text"/>
    <w:basedOn w:val="Normal"/>
    <w:link w:val="CommentTextChar"/>
    <w:uiPriority w:val="99"/>
    <w:semiHidden/>
    <w:unhideWhenUsed/>
    <w:rsid w:val="00660255"/>
    <w:rPr>
      <w:sz w:val="20"/>
      <w:szCs w:val="20"/>
    </w:rPr>
  </w:style>
  <w:style w:type="character" w:customStyle="1" w:styleId="CommentTextChar">
    <w:name w:val="Comment Text Char"/>
    <w:basedOn w:val="DefaultParagraphFont"/>
    <w:link w:val="CommentText"/>
    <w:uiPriority w:val="99"/>
    <w:semiHidden/>
    <w:rsid w:val="00660255"/>
    <w:rPr>
      <w:sz w:val="20"/>
      <w:szCs w:val="20"/>
    </w:rPr>
  </w:style>
  <w:style w:type="paragraph" w:styleId="CommentSubject">
    <w:name w:val="annotation subject"/>
    <w:basedOn w:val="CommentText"/>
    <w:next w:val="CommentText"/>
    <w:link w:val="CommentSubjectChar"/>
    <w:uiPriority w:val="99"/>
    <w:semiHidden/>
    <w:unhideWhenUsed/>
    <w:rsid w:val="00660255"/>
    <w:rPr>
      <w:b/>
      <w:bCs/>
    </w:rPr>
  </w:style>
  <w:style w:type="character" w:customStyle="1" w:styleId="CommentSubjectChar">
    <w:name w:val="Comment Subject Char"/>
    <w:basedOn w:val="CommentTextChar"/>
    <w:link w:val="CommentSubject"/>
    <w:uiPriority w:val="99"/>
    <w:semiHidden/>
    <w:rsid w:val="00660255"/>
    <w:rPr>
      <w:b/>
      <w:bCs/>
      <w:sz w:val="20"/>
      <w:szCs w:val="20"/>
    </w:rPr>
  </w:style>
  <w:style w:type="paragraph" w:styleId="BalloonText">
    <w:name w:val="Balloon Text"/>
    <w:basedOn w:val="Normal"/>
    <w:link w:val="BalloonTextChar"/>
    <w:uiPriority w:val="99"/>
    <w:semiHidden/>
    <w:unhideWhenUsed/>
    <w:rsid w:val="00660255"/>
    <w:rPr>
      <w:rFonts w:ascii="Tahoma" w:hAnsi="Tahoma" w:cs="Tahoma"/>
      <w:sz w:val="16"/>
      <w:szCs w:val="16"/>
    </w:rPr>
  </w:style>
  <w:style w:type="character" w:customStyle="1" w:styleId="BalloonTextChar">
    <w:name w:val="Balloon Text Char"/>
    <w:basedOn w:val="DefaultParagraphFont"/>
    <w:link w:val="BalloonText"/>
    <w:uiPriority w:val="99"/>
    <w:semiHidden/>
    <w:rsid w:val="00660255"/>
    <w:rPr>
      <w:rFonts w:ascii="Tahoma" w:hAnsi="Tahoma" w:cs="Tahoma"/>
      <w:sz w:val="16"/>
      <w:szCs w:val="16"/>
    </w:rPr>
  </w:style>
  <w:style w:type="paragraph" w:styleId="Revision">
    <w:name w:val="Revision"/>
    <w:hidden/>
    <w:uiPriority w:val="99"/>
    <w:semiHidden/>
    <w:rsid w:val="00660255"/>
    <w:rPr>
      <w:sz w:val="24"/>
      <w:szCs w:val="24"/>
    </w:rPr>
  </w:style>
  <w:style w:type="character" w:styleId="HTMLCite">
    <w:name w:val="HTML Cite"/>
    <w:basedOn w:val="DefaultParagraphFont"/>
    <w:uiPriority w:val="99"/>
    <w:semiHidden/>
    <w:unhideWhenUsed/>
    <w:rsid w:val="00784BE7"/>
    <w:rPr>
      <w:i/>
      <w:iCs/>
    </w:rPr>
  </w:style>
  <w:style w:type="character" w:styleId="PlaceholderText">
    <w:name w:val="Placeholder Text"/>
    <w:basedOn w:val="DefaultParagraphFont"/>
    <w:uiPriority w:val="99"/>
    <w:semiHidden/>
    <w:rsid w:val="001A456C"/>
    <w:rPr>
      <w:color w:val="808080"/>
    </w:rPr>
  </w:style>
  <w:style w:type="paragraph" w:styleId="Header">
    <w:name w:val="header"/>
    <w:basedOn w:val="Normal"/>
    <w:link w:val="HeaderChar"/>
    <w:uiPriority w:val="99"/>
    <w:unhideWhenUsed/>
    <w:rsid w:val="00E42463"/>
    <w:pPr>
      <w:tabs>
        <w:tab w:val="center" w:pos="4680"/>
        <w:tab w:val="right" w:pos="9360"/>
      </w:tabs>
    </w:pPr>
  </w:style>
  <w:style w:type="character" w:customStyle="1" w:styleId="HeaderChar">
    <w:name w:val="Header Char"/>
    <w:basedOn w:val="DefaultParagraphFont"/>
    <w:link w:val="Header"/>
    <w:uiPriority w:val="99"/>
    <w:rsid w:val="00E42463"/>
    <w:rPr>
      <w:sz w:val="24"/>
      <w:szCs w:val="24"/>
    </w:rPr>
  </w:style>
  <w:style w:type="paragraph" w:styleId="Footer">
    <w:name w:val="footer"/>
    <w:basedOn w:val="Normal"/>
    <w:link w:val="FooterChar"/>
    <w:uiPriority w:val="99"/>
    <w:unhideWhenUsed/>
    <w:rsid w:val="00E42463"/>
    <w:pPr>
      <w:tabs>
        <w:tab w:val="center" w:pos="4680"/>
        <w:tab w:val="right" w:pos="9360"/>
      </w:tabs>
    </w:pPr>
  </w:style>
  <w:style w:type="character" w:customStyle="1" w:styleId="FooterChar">
    <w:name w:val="Footer Char"/>
    <w:basedOn w:val="DefaultParagraphFont"/>
    <w:link w:val="Footer"/>
    <w:uiPriority w:val="99"/>
    <w:rsid w:val="00E42463"/>
    <w:rPr>
      <w:sz w:val="24"/>
      <w:szCs w:val="24"/>
    </w:rPr>
  </w:style>
  <w:style w:type="paragraph" w:styleId="Caption">
    <w:name w:val="caption"/>
    <w:basedOn w:val="Normal"/>
    <w:next w:val="Normal"/>
    <w:uiPriority w:val="35"/>
    <w:unhideWhenUsed/>
    <w:rsid w:val="009F1106"/>
    <w:pPr>
      <w:spacing w:after="200"/>
    </w:pPr>
    <w:rPr>
      <w:b/>
      <w:bCs/>
      <w:color w:val="4F81BD" w:themeColor="accent1"/>
      <w:sz w:val="18"/>
      <w:szCs w:val="18"/>
    </w:rPr>
  </w:style>
  <w:style w:type="table" w:styleId="TableGrid">
    <w:name w:val="Table Grid"/>
    <w:basedOn w:val="TableNormal"/>
    <w:uiPriority w:val="59"/>
    <w:rsid w:val="00CC0B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itle">
    <w:name w:val="ttitle"/>
    <w:basedOn w:val="DefaultParagraphFont"/>
    <w:rsid w:val="00C45975"/>
  </w:style>
  <w:style w:type="character" w:customStyle="1" w:styleId="label">
    <w:name w:val="label"/>
    <w:basedOn w:val="DefaultParagraphFont"/>
    <w:rsid w:val="00C45975"/>
  </w:style>
  <w:style w:type="character" w:customStyle="1" w:styleId="bullet">
    <w:name w:val="bullet"/>
    <w:basedOn w:val="DefaultParagraphFont"/>
    <w:rsid w:val="00C45975"/>
  </w:style>
  <w:style w:type="paragraph" w:styleId="NormalWeb">
    <w:name w:val="Normal (Web)"/>
    <w:basedOn w:val="Normal"/>
    <w:uiPriority w:val="99"/>
    <w:unhideWhenUsed/>
    <w:rsid w:val="00C45975"/>
    <w:pPr>
      <w:spacing w:before="100" w:beforeAutospacing="1" w:after="100" w:afterAutospacing="1"/>
    </w:pPr>
    <w:rPr>
      <w:rFonts w:ascii="Times New Roman" w:eastAsia="Times New Roman" w:hAnsi="Times New Roman"/>
    </w:rPr>
  </w:style>
  <w:style w:type="character" w:styleId="FollowedHyperlink">
    <w:name w:val="FollowedHyperlink"/>
    <w:basedOn w:val="DefaultParagraphFont"/>
    <w:uiPriority w:val="99"/>
    <w:semiHidden/>
    <w:unhideWhenUsed/>
    <w:rsid w:val="00BE2B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69888">
      <w:bodyDiv w:val="1"/>
      <w:marLeft w:val="0"/>
      <w:marRight w:val="0"/>
      <w:marTop w:val="0"/>
      <w:marBottom w:val="0"/>
      <w:divBdr>
        <w:top w:val="none" w:sz="0" w:space="0" w:color="auto"/>
        <w:left w:val="none" w:sz="0" w:space="0" w:color="auto"/>
        <w:bottom w:val="none" w:sz="0" w:space="0" w:color="auto"/>
        <w:right w:val="none" w:sz="0" w:space="0" w:color="auto"/>
      </w:divBdr>
    </w:div>
    <w:div w:id="96488305">
      <w:bodyDiv w:val="1"/>
      <w:marLeft w:val="0"/>
      <w:marRight w:val="0"/>
      <w:marTop w:val="0"/>
      <w:marBottom w:val="0"/>
      <w:divBdr>
        <w:top w:val="none" w:sz="0" w:space="0" w:color="auto"/>
        <w:left w:val="none" w:sz="0" w:space="0" w:color="auto"/>
        <w:bottom w:val="none" w:sz="0" w:space="0" w:color="auto"/>
        <w:right w:val="none" w:sz="0" w:space="0" w:color="auto"/>
      </w:divBdr>
    </w:div>
    <w:div w:id="685861319">
      <w:bodyDiv w:val="1"/>
      <w:marLeft w:val="0"/>
      <w:marRight w:val="0"/>
      <w:marTop w:val="0"/>
      <w:marBottom w:val="0"/>
      <w:divBdr>
        <w:top w:val="none" w:sz="0" w:space="0" w:color="auto"/>
        <w:left w:val="none" w:sz="0" w:space="0" w:color="auto"/>
        <w:bottom w:val="none" w:sz="0" w:space="0" w:color="auto"/>
        <w:right w:val="none" w:sz="0" w:space="0" w:color="auto"/>
      </w:divBdr>
    </w:div>
    <w:div w:id="790199842">
      <w:bodyDiv w:val="1"/>
      <w:marLeft w:val="0"/>
      <w:marRight w:val="0"/>
      <w:marTop w:val="0"/>
      <w:marBottom w:val="0"/>
      <w:divBdr>
        <w:top w:val="none" w:sz="0" w:space="0" w:color="auto"/>
        <w:left w:val="none" w:sz="0" w:space="0" w:color="auto"/>
        <w:bottom w:val="none" w:sz="0" w:space="0" w:color="auto"/>
        <w:right w:val="none" w:sz="0" w:space="0" w:color="auto"/>
      </w:divBdr>
      <w:divsChild>
        <w:div w:id="109328207">
          <w:marLeft w:val="0"/>
          <w:marRight w:val="0"/>
          <w:marTop w:val="0"/>
          <w:marBottom w:val="0"/>
          <w:divBdr>
            <w:top w:val="none" w:sz="0" w:space="0" w:color="auto"/>
            <w:left w:val="none" w:sz="0" w:space="0" w:color="auto"/>
            <w:bottom w:val="none" w:sz="0" w:space="0" w:color="auto"/>
            <w:right w:val="none" w:sz="0" w:space="0" w:color="auto"/>
          </w:divBdr>
        </w:div>
        <w:div w:id="1499541467">
          <w:marLeft w:val="0"/>
          <w:marRight w:val="0"/>
          <w:marTop w:val="0"/>
          <w:marBottom w:val="0"/>
          <w:divBdr>
            <w:top w:val="none" w:sz="0" w:space="0" w:color="auto"/>
            <w:left w:val="none" w:sz="0" w:space="0" w:color="auto"/>
            <w:bottom w:val="none" w:sz="0" w:space="0" w:color="auto"/>
            <w:right w:val="none" w:sz="0" w:space="0" w:color="auto"/>
          </w:divBdr>
        </w:div>
        <w:div w:id="1554076122">
          <w:marLeft w:val="0"/>
          <w:marRight w:val="0"/>
          <w:marTop w:val="0"/>
          <w:marBottom w:val="0"/>
          <w:divBdr>
            <w:top w:val="none" w:sz="0" w:space="0" w:color="auto"/>
            <w:left w:val="none" w:sz="0" w:space="0" w:color="auto"/>
            <w:bottom w:val="none" w:sz="0" w:space="0" w:color="auto"/>
            <w:right w:val="none" w:sz="0" w:space="0" w:color="auto"/>
          </w:divBdr>
        </w:div>
        <w:div w:id="2068529612">
          <w:marLeft w:val="0"/>
          <w:marRight w:val="0"/>
          <w:marTop w:val="0"/>
          <w:marBottom w:val="0"/>
          <w:divBdr>
            <w:top w:val="none" w:sz="0" w:space="0" w:color="auto"/>
            <w:left w:val="none" w:sz="0" w:space="0" w:color="auto"/>
            <w:bottom w:val="none" w:sz="0" w:space="0" w:color="auto"/>
            <w:right w:val="none" w:sz="0" w:space="0" w:color="auto"/>
          </w:divBdr>
        </w:div>
      </w:divsChild>
    </w:div>
    <w:div w:id="852451050">
      <w:bodyDiv w:val="1"/>
      <w:marLeft w:val="0"/>
      <w:marRight w:val="0"/>
      <w:marTop w:val="0"/>
      <w:marBottom w:val="0"/>
      <w:divBdr>
        <w:top w:val="none" w:sz="0" w:space="0" w:color="auto"/>
        <w:left w:val="none" w:sz="0" w:space="0" w:color="auto"/>
        <w:bottom w:val="none" w:sz="0" w:space="0" w:color="auto"/>
        <w:right w:val="none" w:sz="0" w:space="0" w:color="auto"/>
      </w:divBdr>
    </w:div>
    <w:div w:id="892278008">
      <w:bodyDiv w:val="1"/>
      <w:marLeft w:val="0"/>
      <w:marRight w:val="0"/>
      <w:marTop w:val="0"/>
      <w:marBottom w:val="0"/>
      <w:divBdr>
        <w:top w:val="none" w:sz="0" w:space="0" w:color="auto"/>
        <w:left w:val="none" w:sz="0" w:space="0" w:color="auto"/>
        <w:bottom w:val="none" w:sz="0" w:space="0" w:color="auto"/>
        <w:right w:val="none" w:sz="0" w:space="0" w:color="auto"/>
      </w:divBdr>
      <w:divsChild>
        <w:div w:id="1383627402">
          <w:marLeft w:val="0"/>
          <w:marRight w:val="0"/>
          <w:marTop w:val="0"/>
          <w:marBottom w:val="0"/>
          <w:divBdr>
            <w:top w:val="none" w:sz="0" w:space="0" w:color="auto"/>
            <w:left w:val="none" w:sz="0" w:space="0" w:color="auto"/>
            <w:bottom w:val="none" w:sz="0" w:space="0" w:color="auto"/>
            <w:right w:val="none" w:sz="0" w:space="0" w:color="auto"/>
          </w:divBdr>
        </w:div>
        <w:div w:id="1723213702">
          <w:marLeft w:val="0"/>
          <w:marRight w:val="0"/>
          <w:marTop w:val="0"/>
          <w:marBottom w:val="360"/>
          <w:divBdr>
            <w:top w:val="none" w:sz="0" w:space="0" w:color="auto"/>
            <w:left w:val="none" w:sz="0" w:space="0" w:color="auto"/>
            <w:bottom w:val="none" w:sz="0" w:space="0" w:color="auto"/>
            <w:right w:val="none" w:sz="0" w:space="0" w:color="auto"/>
          </w:divBdr>
          <w:divsChild>
            <w:div w:id="950236715">
              <w:marLeft w:val="0"/>
              <w:marRight w:val="0"/>
              <w:marTop w:val="0"/>
              <w:marBottom w:val="0"/>
              <w:divBdr>
                <w:top w:val="none" w:sz="0" w:space="0" w:color="auto"/>
                <w:left w:val="none" w:sz="0" w:space="0" w:color="auto"/>
                <w:bottom w:val="none" w:sz="0" w:space="0" w:color="auto"/>
                <w:right w:val="none" w:sz="0" w:space="0" w:color="auto"/>
              </w:divBdr>
              <w:divsChild>
                <w:div w:id="1974947697">
                  <w:marLeft w:val="9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484787">
      <w:bodyDiv w:val="1"/>
      <w:marLeft w:val="0"/>
      <w:marRight w:val="0"/>
      <w:marTop w:val="0"/>
      <w:marBottom w:val="0"/>
      <w:divBdr>
        <w:top w:val="none" w:sz="0" w:space="0" w:color="auto"/>
        <w:left w:val="none" w:sz="0" w:space="0" w:color="auto"/>
        <w:bottom w:val="none" w:sz="0" w:space="0" w:color="auto"/>
        <w:right w:val="none" w:sz="0" w:space="0" w:color="auto"/>
      </w:divBdr>
    </w:div>
    <w:div w:id="1042099671">
      <w:bodyDiv w:val="1"/>
      <w:marLeft w:val="0"/>
      <w:marRight w:val="0"/>
      <w:marTop w:val="0"/>
      <w:marBottom w:val="0"/>
      <w:divBdr>
        <w:top w:val="none" w:sz="0" w:space="0" w:color="auto"/>
        <w:left w:val="none" w:sz="0" w:space="0" w:color="auto"/>
        <w:bottom w:val="none" w:sz="0" w:space="0" w:color="auto"/>
        <w:right w:val="none" w:sz="0" w:space="0" w:color="auto"/>
      </w:divBdr>
    </w:div>
    <w:div w:id="1374305631">
      <w:bodyDiv w:val="1"/>
      <w:marLeft w:val="0"/>
      <w:marRight w:val="0"/>
      <w:marTop w:val="0"/>
      <w:marBottom w:val="0"/>
      <w:divBdr>
        <w:top w:val="none" w:sz="0" w:space="0" w:color="auto"/>
        <w:left w:val="none" w:sz="0" w:space="0" w:color="auto"/>
        <w:bottom w:val="none" w:sz="0" w:space="0" w:color="auto"/>
        <w:right w:val="none" w:sz="0" w:space="0" w:color="auto"/>
      </w:divBdr>
      <w:divsChild>
        <w:div w:id="837576367">
          <w:marLeft w:val="0"/>
          <w:marRight w:val="0"/>
          <w:marTop w:val="0"/>
          <w:marBottom w:val="0"/>
          <w:divBdr>
            <w:top w:val="none" w:sz="0" w:space="0" w:color="auto"/>
            <w:left w:val="none" w:sz="0" w:space="0" w:color="auto"/>
            <w:bottom w:val="none" w:sz="0" w:space="0" w:color="auto"/>
            <w:right w:val="none" w:sz="0" w:space="0" w:color="auto"/>
          </w:divBdr>
          <w:divsChild>
            <w:div w:id="799496543">
              <w:marLeft w:val="912"/>
              <w:marRight w:val="0"/>
              <w:marTop w:val="0"/>
              <w:marBottom w:val="0"/>
              <w:divBdr>
                <w:top w:val="none" w:sz="0" w:space="0" w:color="auto"/>
                <w:left w:val="none" w:sz="0" w:space="0" w:color="auto"/>
                <w:bottom w:val="none" w:sz="0" w:space="0" w:color="auto"/>
                <w:right w:val="none" w:sz="0" w:space="0" w:color="auto"/>
              </w:divBdr>
            </w:div>
          </w:divsChild>
        </w:div>
      </w:divsChild>
    </w:div>
    <w:div w:id="1600677004">
      <w:bodyDiv w:val="1"/>
      <w:marLeft w:val="0"/>
      <w:marRight w:val="0"/>
      <w:marTop w:val="0"/>
      <w:marBottom w:val="0"/>
      <w:divBdr>
        <w:top w:val="none" w:sz="0" w:space="0" w:color="auto"/>
        <w:left w:val="none" w:sz="0" w:space="0" w:color="auto"/>
        <w:bottom w:val="none" w:sz="0" w:space="0" w:color="auto"/>
        <w:right w:val="none" w:sz="0" w:space="0" w:color="auto"/>
      </w:divBdr>
    </w:div>
    <w:div w:id="1630696607">
      <w:bodyDiv w:val="1"/>
      <w:marLeft w:val="0"/>
      <w:marRight w:val="0"/>
      <w:marTop w:val="0"/>
      <w:marBottom w:val="0"/>
      <w:divBdr>
        <w:top w:val="none" w:sz="0" w:space="0" w:color="auto"/>
        <w:left w:val="none" w:sz="0" w:space="0" w:color="auto"/>
        <w:bottom w:val="none" w:sz="0" w:space="0" w:color="auto"/>
        <w:right w:val="none" w:sz="0" w:space="0" w:color="auto"/>
      </w:divBdr>
    </w:div>
    <w:div w:id="1675186128">
      <w:bodyDiv w:val="1"/>
      <w:marLeft w:val="0"/>
      <w:marRight w:val="0"/>
      <w:marTop w:val="0"/>
      <w:marBottom w:val="0"/>
      <w:divBdr>
        <w:top w:val="none" w:sz="0" w:space="0" w:color="auto"/>
        <w:left w:val="none" w:sz="0" w:space="0" w:color="auto"/>
        <w:bottom w:val="none" w:sz="0" w:space="0" w:color="auto"/>
        <w:right w:val="none" w:sz="0" w:space="0" w:color="auto"/>
      </w:divBdr>
    </w:div>
    <w:div w:id="1952395625">
      <w:bodyDiv w:val="1"/>
      <w:marLeft w:val="0"/>
      <w:marRight w:val="0"/>
      <w:marTop w:val="0"/>
      <w:marBottom w:val="0"/>
      <w:divBdr>
        <w:top w:val="none" w:sz="0" w:space="0" w:color="auto"/>
        <w:left w:val="none" w:sz="0" w:space="0" w:color="auto"/>
        <w:bottom w:val="none" w:sz="0" w:space="0" w:color="auto"/>
        <w:right w:val="none" w:sz="0" w:space="0" w:color="auto"/>
      </w:divBdr>
      <w:divsChild>
        <w:div w:id="647974297">
          <w:marLeft w:val="0"/>
          <w:marRight w:val="0"/>
          <w:marTop w:val="0"/>
          <w:marBottom w:val="360"/>
          <w:divBdr>
            <w:top w:val="none" w:sz="0" w:space="0" w:color="auto"/>
            <w:left w:val="none" w:sz="0" w:space="0" w:color="auto"/>
            <w:bottom w:val="none" w:sz="0" w:space="0" w:color="auto"/>
            <w:right w:val="none" w:sz="0" w:space="0" w:color="auto"/>
          </w:divBdr>
          <w:divsChild>
            <w:div w:id="2038509304">
              <w:marLeft w:val="0"/>
              <w:marRight w:val="0"/>
              <w:marTop w:val="0"/>
              <w:marBottom w:val="0"/>
              <w:divBdr>
                <w:top w:val="none" w:sz="0" w:space="0" w:color="auto"/>
                <w:left w:val="none" w:sz="0" w:space="0" w:color="auto"/>
                <w:bottom w:val="none" w:sz="0" w:space="0" w:color="auto"/>
                <w:right w:val="none" w:sz="0" w:space="0" w:color="auto"/>
              </w:divBdr>
              <w:divsChild>
                <w:div w:id="399207645">
                  <w:marLeft w:val="912"/>
                  <w:marRight w:val="0"/>
                  <w:marTop w:val="0"/>
                  <w:marBottom w:val="0"/>
                  <w:divBdr>
                    <w:top w:val="none" w:sz="0" w:space="0" w:color="auto"/>
                    <w:left w:val="none" w:sz="0" w:space="0" w:color="auto"/>
                    <w:bottom w:val="none" w:sz="0" w:space="0" w:color="auto"/>
                    <w:right w:val="none" w:sz="0" w:space="0" w:color="auto"/>
                  </w:divBdr>
                </w:div>
              </w:divsChild>
            </w:div>
          </w:divsChild>
        </w:div>
        <w:div w:id="1954364600">
          <w:marLeft w:val="0"/>
          <w:marRight w:val="0"/>
          <w:marTop w:val="0"/>
          <w:marBottom w:val="0"/>
          <w:divBdr>
            <w:top w:val="none" w:sz="0" w:space="0" w:color="auto"/>
            <w:left w:val="none" w:sz="0" w:space="0" w:color="auto"/>
            <w:bottom w:val="none" w:sz="0" w:space="0" w:color="auto"/>
            <w:right w:val="none" w:sz="0" w:space="0" w:color="auto"/>
          </w:divBdr>
        </w:div>
      </w:divsChild>
    </w:div>
    <w:div w:id="1957521329">
      <w:bodyDiv w:val="1"/>
      <w:marLeft w:val="0"/>
      <w:marRight w:val="0"/>
      <w:marTop w:val="0"/>
      <w:marBottom w:val="0"/>
      <w:divBdr>
        <w:top w:val="none" w:sz="0" w:space="0" w:color="auto"/>
        <w:left w:val="none" w:sz="0" w:space="0" w:color="auto"/>
        <w:bottom w:val="none" w:sz="0" w:space="0" w:color="auto"/>
        <w:right w:val="none" w:sz="0" w:space="0" w:color="auto"/>
      </w:divBdr>
      <w:divsChild>
        <w:div w:id="11653467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www.sec.gov/rules/final/34-51808.pdf" TargetMode="External"/><Relationship Id="rId2" Type="http://schemas.openxmlformats.org/officeDocument/2006/relationships/hyperlink" Target="http://www.cboe.com/publish/feeschedule/CBOEFeeSchedule.pdf" TargetMode="External"/><Relationship Id="rId1" Type="http://schemas.openxmlformats.org/officeDocument/2006/relationships/hyperlink" Target="http://www.nasdaq.com/markets/ipos/company/all-tech-investment-group-inc-de-51968-10366" TargetMode="External"/><Relationship Id="rId4" Type="http://schemas.openxmlformats.org/officeDocument/2006/relationships/hyperlink" Target="http://www.c2exchange.com/"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dx.doi.org/10.2139/ssrn.2149302" TargetMode="External"/><Relationship Id="rId18" Type="http://schemas.openxmlformats.org/officeDocument/2006/relationships/hyperlink" Target="http://dx.doi.org/10.2139/ssrn.2026593" TargetMode="External"/><Relationship Id="rId26" Type="http://schemas.openxmlformats.org/officeDocument/2006/relationships/image" Target="media/image5.emf"/><Relationship Id="rId39" Type="http://schemas.openxmlformats.org/officeDocument/2006/relationships/header" Target="header1.xml"/><Relationship Id="rId21" Type="http://schemas.openxmlformats.org/officeDocument/2006/relationships/chart" Target="charts/chart3.xml"/><Relationship Id="rId34" Type="http://schemas.openxmlformats.org/officeDocument/2006/relationships/image" Target="media/image13.png"/><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dx.doi.org/10.2139/ssrn.1823600" TargetMode="External"/><Relationship Id="rId20" Type="http://schemas.openxmlformats.org/officeDocument/2006/relationships/chart" Target="charts/chart2.xml"/><Relationship Id="rId29" Type="http://schemas.openxmlformats.org/officeDocument/2006/relationships/image" Target="media/image8.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2139/ssrn.1954119" TargetMode="External"/><Relationship Id="rId24" Type="http://schemas.openxmlformats.org/officeDocument/2006/relationships/image" Target="media/image3.emf"/><Relationship Id="rId32" Type="http://schemas.openxmlformats.org/officeDocument/2006/relationships/image" Target="media/image11.png"/><Relationship Id="rId37" Type="http://schemas.openxmlformats.org/officeDocument/2006/relationships/image" Target="media/image16.emf"/><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dx.doi.org/10.2139/ssrn.1752843" TargetMode="External"/><Relationship Id="rId23" Type="http://schemas.openxmlformats.org/officeDocument/2006/relationships/image" Target="media/image2.png"/><Relationship Id="rId28" Type="http://schemas.openxmlformats.org/officeDocument/2006/relationships/image" Target="media/image7.emf"/><Relationship Id="rId36" Type="http://schemas.openxmlformats.org/officeDocument/2006/relationships/image" Target="media/image15.emf"/><Relationship Id="rId10" Type="http://schemas.openxmlformats.org/officeDocument/2006/relationships/comments" Target="comments.xml"/><Relationship Id="rId19" Type="http://schemas.openxmlformats.org/officeDocument/2006/relationships/chart" Target="charts/chart1.xml"/><Relationship Id="rId31"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hyperlink" Target="mailto:lharris@USC.edu" TargetMode="External"/><Relationship Id="rId14" Type="http://schemas.openxmlformats.org/officeDocument/2006/relationships/hyperlink" Target="http://dx.doi.org/10.2139/ssrn.1831146" TargetMode="External"/><Relationship Id="rId22" Type="http://schemas.openxmlformats.org/officeDocument/2006/relationships/image" Target="media/image1.png"/><Relationship Id="rId27" Type="http://schemas.openxmlformats.org/officeDocument/2006/relationships/image" Target="media/image6.emf"/><Relationship Id="rId30" Type="http://schemas.openxmlformats.org/officeDocument/2006/relationships/image" Target="media/image9.png"/><Relationship Id="rId35" Type="http://schemas.openxmlformats.org/officeDocument/2006/relationships/image" Target="media/image14.emf"/><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dx.doi.org/10.2139/ssrn.2178102" TargetMode="External"/><Relationship Id="rId17" Type="http://schemas.openxmlformats.org/officeDocument/2006/relationships/hyperlink" Target="http://www.schumer.senate.gov/Newsroom/record.cfm?id=336748" TargetMode="External"/><Relationship Id="rId25" Type="http://schemas.openxmlformats.org/officeDocument/2006/relationships/image" Target="media/image4.png"/><Relationship Id="rId33" Type="http://schemas.openxmlformats.org/officeDocument/2006/relationships/image" Target="media/image12.png"/><Relationship Id="rId38" Type="http://schemas.openxmlformats.org/officeDocument/2006/relationships/image" Target="media/image17.emf"/></Relationships>
</file>

<file path=word/_rels/footnotes.xml.rels><?xml version="1.0" encoding="UTF-8" standalone="yes"?>
<Relationships xmlns="http://schemas.openxmlformats.org/package/2006/relationships"><Relationship Id="rId1" Type="http://schemas.openxmlformats.org/officeDocument/2006/relationships/hyperlink" Target="ftp://ftp.bls.gov/pub/special.requests/cpi/cpiai.txt"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msbfile\lharris$\My%20Documents\d\Research\TickSize\Figur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strRef>
              <c:f>'Figure 1'!$B$3</c:f>
              <c:strCache>
                <c:ptCount val="1"/>
                <c:pt idx="0">
                  <c:v>V</c:v>
                </c:pt>
              </c:strCache>
            </c:strRef>
          </c:tx>
          <c:spPr>
            <a:ln>
              <a:prstDash val="dash"/>
            </a:ln>
          </c:spPr>
          <c:marker>
            <c:symbol val="none"/>
          </c:marker>
          <c:dPt>
            <c:idx val="2"/>
            <c:marker>
              <c:symbol val="circle"/>
              <c:size val="6"/>
            </c:marker>
            <c:bubble3D val="0"/>
          </c:dPt>
          <c:dLbls>
            <c:dLbl>
              <c:idx val="1"/>
              <c:delete val="1"/>
            </c:dLbl>
            <c:dLbl>
              <c:idx val="2"/>
              <c:layout>
                <c:manualLayout>
                  <c:x val="-2.7076953922426362E-2"/>
                  <c:y val="0.11076361548556431"/>
                </c:manualLayout>
              </c:layout>
              <c:dLblPos val="r"/>
              <c:showLegendKey val="0"/>
              <c:showVal val="0"/>
              <c:showCatName val="0"/>
              <c:showSerName val="1"/>
              <c:showPercent val="0"/>
              <c:showBubbleSize val="0"/>
            </c:dLbl>
            <c:dLbl>
              <c:idx val="3"/>
              <c:delete val="1"/>
            </c:dLbl>
            <c:txPr>
              <a:bodyPr/>
              <a:lstStyle/>
              <a:p>
                <a:pPr>
                  <a:defRPr b="1"/>
                </a:pPr>
                <a:endParaRPr lang="en-US"/>
              </a:p>
            </c:txPr>
            <c:dLblPos val="b"/>
            <c:showLegendKey val="0"/>
            <c:showVal val="0"/>
            <c:showCatName val="0"/>
            <c:showSerName val="1"/>
            <c:showPercent val="0"/>
            <c:showBubbleSize val="0"/>
            <c:showLeaderLines val="0"/>
          </c:dLbls>
          <c:xVal>
            <c:numRef>
              <c:f>'Figure 1'!$A$4:$A$8</c:f>
              <c:numCache>
                <c:formatCode>General</c:formatCode>
                <c:ptCount val="5"/>
                <c:pt idx="0">
                  <c:v>1</c:v>
                </c:pt>
                <c:pt idx="1">
                  <c:v>1</c:v>
                </c:pt>
                <c:pt idx="2" formatCode="0.00">
                  <c:v>1.7</c:v>
                </c:pt>
                <c:pt idx="3">
                  <c:v>2</c:v>
                </c:pt>
                <c:pt idx="4">
                  <c:v>2</c:v>
                </c:pt>
              </c:numCache>
            </c:numRef>
          </c:xVal>
          <c:yVal>
            <c:numRef>
              <c:f>'Figure 1'!$B$4:$B$8</c:f>
              <c:numCache>
                <c:formatCode>General</c:formatCode>
                <c:ptCount val="5"/>
                <c:pt idx="1">
                  <c:v>28</c:v>
                </c:pt>
                <c:pt idx="2">
                  <c:v>0</c:v>
                </c:pt>
                <c:pt idx="3">
                  <c:v>12</c:v>
                </c:pt>
              </c:numCache>
            </c:numRef>
          </c:yVal>
          <c:smooth val="0"/>
        </c:ser>
        <c:ser>
          <c:idx val="1"/>
          <c:order val="1"/>
          <c:tx>
            <c:strRef>
              <c:f>'Figure 1'!$C$3</c:f>
              <c:strCache>
                <c:ptCount val="1"/>
                <c:pt idx="0">
                  <c:v>Bid</c:v>
                </c:pt>
              </c:strCache>
            </c:strRef>
          </c:tx>
          <c:marker>
            <c:symbol val="none"/>
          </c:marker>
          <c:dPt>
            <c:idx val="1"/>
            <c:marker>
              <c:symbol val="circle"/>
              <c:size val="6"/>
            </c:marker>
            <c:bubble3D val="0"/>
          </c:dPt>
          <c:dLbls>
            <c:dLbl>
              <c:idx val="0"/>
              <c:layout>
                <c:manualLayout>
                  <c:x val="-3.9801144648585633E-2"/>
                  <c:y val="0.11042787620297463"/>
                </c:manualLayout>
              </c:layout>
              <c:dLblPos val="r"/>
              <c:showLegendKey val="0"/>
              <c:showVal val="0"/>
              <c:showCatName val="0"/>
              <c:showSerName val="1"/>
              <c:showPercent val="0"/>
              <c:showBubbleSize val="0"/>
            </c:dLbl>
            <c:txPr>
              <a:bodyPr/>
              <a:lstStyle/>
              <a:p>
                <a:pPr>
                  <a:defRPr b="1"/>
                </a:pPr>
                <a:endParaRPr lang="en-US"/>
              </a:p>
            </c:txPr>
            <c:showLegendKey val="0"/>
            <c:showVal val="0"/>
            <c:showCatName val="0"/>
            <c:showSerName val="0"/>
            <c:showPercent val="0"/>
            <c:showBubbleSize val="0"/>
          </c:dLbls>
          <c:xVal>
            <c:numRef>
              <c:f>'Figure 1'!$A$4:$A$8</c:f>
              <c:numCache>
                <c:formatCode>General</c:formatCode>
                <c:ptCount val="5"/>
                <c:pt idx="0">
                  <c:v>1</c:v>
                </c:pt>
                <c:pt idx="1">
                  <c:v>1</c:v>
                </c:pt>
                <c:pt idx="2" formatCode="0.00">
                  <c:v>1.7</c:v>
                </c:pt>
                <c:pt idx="3">
                  <c:v>2</c:v>
                </c:pt>
                <c:pt idx="4">
                  <c:v>2</c:v>
                </c:pt>
              </c:numCache>
            </c:numRef>
          </c:xVal>
          <c:yVal>
            <c:numRef>
              <c:f>'Figure 1'!$C$4:$C$8</c:f>
              <c:numCache>
                <c:formatCode>General</c:formatCode>
                <c:ptCount val="5"/>
                <c:pt idx="0">
                  <c:v>0</c:v>
                </c:pt>
                <c:pt idx="1">
                  <c:v>28</c:v>
                </c:pt>
              </c:numCache>
            </c:numRef>
          </c:yVal>
          <c:smooth val="0"/>
        </c:ser>
        <c:ser>
          <c:idx val="2"/>
          <c:order val="2"/>
          <c:tx>
            <c:strRef>
              <c:f>'Figure 1'!$D$3</c:f>
              <c:strCache>
                <c:ptCount val="1"/>
                <c:pt idx="0">
                  <c:v>Ask</c:v>
                </c:pt>
              </c:strCache>
            </c:strRef>
          </c:tx>
          <c:marker>
            <c:symbol val="none"/>
          </c:marker>
          <c:dPt>
            <c:idx val="3"/>
            <c:marker>
              <c:symbol val="circle"/>
              <c:size val="6"/>
            </c:marker>
            <c:bubble3D val="0"/>
          </c:dPt>
          <c:dLbls>
            <c:dLbl>
              <c:idx val="3"/>
              <c:delete val="1"/>
            </c:dLbl>
            <c:dLbl>
              <c:idx val="4"/>
              <c:layout>
                <c:manualLayout>
                  <c:x val="-4.0295275590551266E-2"/>
                  <c:y val="0.11223972003499562"/>
                </c:manualLayout>
              </c:layout>
              <c:dLblPos val="r"/>
              <c:showLegendKey val="0"/>
              <c:showVal val="0"/>
              <c:showCatName val="0"/>
              <c:showSerName val="1"/>
              <c:showPercent val="0"/>
              <c:showBubbleSize val="0"/>
            </c:dLbl>
            <c:txPr>
              <a:bodyPr/>
              <a:lstStyle/>
              <a:p>
                <a:pPr>
                  <a:defRPr b="1"/>
                </a:pPr>
                <a:endParaRPr lang="en-US"/>
              </a:p>
            </c:txPr>
            <c:dLblPos val="b"/>
            <c:showLegendKey val="0"/>
            <c:showVal val="0"/>
            <c:showCatName val="0"/>
            <c:showSerName val="1"/>
            <c:showPercent val="0"/>
            <c:showBubbleSize val="0"/>
            <c:showLeaderLines val="0"/>
          </c:dLbls>
          <c:xVal>
            <c:numRef>
              <c:f>'Figure 1'!$A$4:$A$8</c:f>
              <c:numCache>
                <c:formatCode>General</c:formatCode>
                <c:ptCount val="5"/>
                <c:pt idx="0">
                  <c:v>1</c:v>
                </c:pt>
                <c:pt idx="1">
                  <c:v>1</c:v>
                </c:pt>
                <c:pt idx="2" formatCode="0.00">
                  <c:v>1.7</c:v>
                </c:pt>
                <c:pt idx="3">
                  <c:v>2</c:v>
                </c:pt>
                <c:pt idx="4">
                  <c:v>2</c:v>
                </c:pt>
              </c:numCache>
            </c:numRef>
          </c:xVal>
          <c:yVal>
            <c:numRef>
              <c:f>'Figure 1'!$D$4:$D$8</c:f>
              <c:numCache>
                <c:formatCode>General</c:formatCode>
                <c:ptCount val="5"/>
                <c:pt idx="3">
                  <c:v>12</c:v>
                </c:pt>
                <c:pt idx="4">
                  <c:v>0</c:v>
                </c:pt>
              </c:numCache>
            </c:numRef>
          </c:yVal>
          <c:smooth val="0"/>
        </c:ser>
        <c:dLbls>
          <c:showLegendKey val="0"/>
          <c:showVal val="1"/>
          <c:showCatName val="0"/>
          <c:showSerName val="0"/>
          <c:showPercent val="0"/>
          <c:showBubbleSize val="0"/>
        </c:dLbls>
        <c:axId val="241609536"/>
        <c:axId val="259448832"/>
      </c:scatterChart>
      <c:valAx>
        <c:axId val="241609536"/>
        <c:scaling>
          <c:orientation val="minMax"/>
          <c:max val="2.4"/>
          <c:min val="0.60000000000000009"/>
        </c:scaling>
        <c:delete val="0"/>
        <c:axPos val="b"/>
        <c:title>
          <c:tx>
            <c:rich>
              <a:bodyPr/>
              <a:lstStyle/>
              <a:p>
                <a:pPr>
                  <a:defRPr b="1"/>
                </a:pPr>
                <a:r>
                  <a:rPr lang="en-US" b="1"/>
                  <a:t>Price</a:t>
                </a:r>
              </a:p>
            </c:rich>
          </c:tx>
          <c:layout>
            <c:manualLayout>
              <c:xMode val="edge"/>
              <c:yMode val="edge"/>
              <c:x val="0.92334518081073202"/>
              <c:y val="0.75393509405074366"/>
            </c:manualLayout>
          </c:layout>
          <c:overlay val="0"/>
        </c:title>
        <c:numFmt formatCode="General" sourceLinked="1"/>
        <c:majorTickMark val="out"/>
        <c:minorTickMark val="none"/>
        <c:tickLblPos val="nextTo"/>
        <c:spPr>
          <a:ln>
            <a:solidFill>
              <a:schemeClr val="tx1"/>
            </a:solidFill>
          </a:ln>
        </c:spPr>
        <c:crossAx val="259448832"/>
        <c:crosses val="autoZero"/>
        <c:crossBetween val="midCat"/>
        <c:majorUnit val="0.2"/>
      </c:valAx>
      <c:valAx>
        <c:axId val="259448832"/>
        <c:scaling>
          <c:orientation val="minMax"/>
          <c:max val="30"/>
          <c:min val="0"/>
        </c:scaling>
        <c:delete val="0"/>
        <c:axPos val="l"/>
        <c:majorGridlines>
          <c:spPr>
            <a:ln>
              <a:noFill/>
            </a:ln>
          </c:spPr>
        </c:majorGridlines>
        <c:title>
          <c:tx>
            <c:rich>
              <a:bodyPr rot="0" vert="horz"/>
              <a:lstStyle/>
              <a:p>
                <a:pPr>
                  <a:defRPr b="1"/>
                </a:pPr>
                <a:r>
                  <a:rPr lang="en-US" b="1"/>
                  <a:t>Quotation</a:t>
                </a:r>
                <a:br>
                  <a:rPr lang="en-US" b="1"/>
                </a:br>
                <a:r>
                  <a:rPr lang="en-US" b="1"/>
                  <a:t>Sizes</a:t>
                </a:r>
              </a:p>
            </c:rich>
          </c:tx>
          <c:layout>
            <c:manualLayout>
              <c:xMode val="edge"/>
              <c:yMode val="edge"/>
              <c:x val="1.6666666666666666E-2"/>
              <c:y val="4.0759696704578609E-2"/>
            </c:manualLayout>
          </c:layout>
          <c:overlay val="0"/>
        </c:title>
        <c:numFmt formatCode="General" sourceLinked="1"/>
        <c:majorTickMark val="out"/>
        <c:minorTickMark val="none"/>
        <c:tickLblPos val="nextTo"/>
        <c:spPr>
          <a:ln>
            <a:solidFill>
              <a:schemeClr val="tx1"/>
            </a:solidFill>
          </a:ln>
        </c:spPr>
        <c:crossAx val="241609536"/>
        <c:crosses val="autoZero"/>
        <c:crossBetween val="midCat"/>
        <c:majorUnit val="5"/>
      </c:valAx>
    </c:plotArea>
    <c:plotVisOnly val="1"/>
    <c:dispBlanksAs val="gap"/>
    <c:showDLblsOverMax val="0"/>
  </c:chart>
  <c:spPr>
    <a:ln>
      <a:noFill/>
    </a:ln>
  </c:spPr>
  <c:txPr>
    <a:bodyPr/>
    <a:lstStyle/>
    <a:p>
      <a:pPr>
        <a:defRPr sz="1200" b="0"/>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strRef>
              <c:f>'Figure 2'!$B$3</c:f>
              <c:strCache>
                <c:ptCount val="1"/>
                <c:pt idx="0">
                  <c:v>V</c:v>
                </c:pt>
              </c:strCache>
            </c:strRef>
          </c:tx>
          <c:spPr>
            <a:ln>
              <a:solidFill>
                <a:schemeClr val="accent1"/>
              </a:solidFill>
              <a:prstDash val="solid"/>
            </a:ln>
          </c:spPr>
          <c:marker>
            <c:symbol val="none"/>
          </c:marker>
          <c:dPt>
            <c:idx val="2"/>
            <c:marker>
              <c:symbol val="circle"/>
              <c:size val="6"/>
              <c:spPr>
                <a:solidFill>
                  <a:schemeClr val="accent1"/>
                </a:solidFill>
              </c:spPr>
            </c:marker>
            <c:bubble3D val="0"/>
          </c:dPt>
          <c:dLbls>
            <c:dLbl>
              <c:idx val="1"/>
              <c:delete val="1"/>
            </c:dLbl>
            <c:dLbl>
              <c:idx val="2"/>
              <c:layout>
                <c:manualLayout>
                  <c:x val="-3.1706642999343941E-2"/>
                  <c:y val="0.10729139326334208"/>
                </c:manualLayout>
              </c:layout>
              <c:dLblPos val="r"/>
              <c:showLegendKey val="0"/>
              <c:showVal val="0"/>
              <c:showCatName val="0"/>
              <c:showSerName val="1"/>
              <c:showPercent val="0"/>
              <c:showBubbleSize val="0"/>
            </c:dLbl>
            <c:dLbl>
              <c:idx val="3"/>
              <c:delete val="1"/>
            </c:dLbl>
            <c:txPr>
              <a:bodyPr/>
              <a:lstStyle/>
              <a:p>
                <a:pPr>
                  <a:defRPr b="1"/>
                </a:pPr>
                <a:endParaRPr lang="en-US"/>
              </a:p>
            </c:txPr>
            <c:dLblPos val="b"/>
            <c:showLegendKey val="0"/>
            <c:showVal val="0"/>
            <c:showCatName val="0"/>
            <c:showSerName val="1"/>
            <c:showPercent val="0"/>
            <c:showBubbleSize val="0"/>
            <c:showLeaderLines val="0"/>
          </c:dLbls>
          <c:xVal>
            <c:numRef>
              <c:f>'Figure 2'!$A$4:$A$13</c:f>
              <c:numCache>
                <c:formatCode>General</c:formatCode>
                <c:ptCount val="10"/>
                <c:pt idx="0">
                  <c:v>1</c:v>
                </c:pt>
                <c:pt idx="1">
                  <c:v>1</c:v>
                </c:pt>
                <c:pt idx="2" formatCode="0.00">
                  <c:v>1.7</c:v>
                </c:pt>
                <c:pt idx="3">
                  <c:v>2</c:v>
                </c:pt>
                <c:pt idx="4">
                  <c:v>2</c:v>
                </c:pt>
                <c:pt idx="5">
                  <c:v>0.7</c:v>
                </c:pt>
                <c:pt idx="6">
                  <c:v>0.7</c:v>
                </c:pt>
                <c:pt idx="7" formatCode="0.00">
                  <c:v>1.8199999999999996</c:v>
                </c:pt>
                <c:pt idx="8">
                  <c:v>2.2999999999999998</c:v>
                </c:pt>
                <c:pt idx="9">
                  <c:v>2.2999999999999998</c:v>
                </c:pt>
              </c:numCache>
            </c:numRef>
          </c:xVal>
          <c:yVal>
            <c:numRef>
              <c:f>'Figure 2'!$B$4:$B$13</c:f>
              <c:numCache>
                <c:formatCode>General</c:formatCode>
                <c:ptCount val="10"/>
                <c:pt idx="1">
                  <c:v>28</c:v>
                </c:pt>
                <c:pt idx="2">
                  <c:v>0</c:v>
                </c:pt>
                <c:pt idx="3">
                  <c:v>12</c:v>
                </c:pt>
              </c:numCache>
            </c:numRef>
          </c:yVal>
          <c:smooth val="0"/>
        </c:ser>
        <c:ser>
          <c:idx val="1"/>
          <c:order val="1"/>
          <c:tx>
            <c:strRef>
              <c:f>'Figure 2'!$C$3</c:f>
              <c:strCache>
                <c:ptCount val="1"/>
                <c:pt idx="0">
                  <c:v>Bid</c:v>
                </c:pt>
              </c:strCache>
            </c:strRef>
          </c:tx>
          <c:spPr>
            <a:ln cmpd="sng">
              <a:solidFill>
                <a:schemeClr val="accent2"/>
              </a:solidFill>
              <a:prstDash val="solid"/>
            </a:ln>
          </c:spPr>
          <c:marker>
            <c:symbol val="none"/>
          </c:marker>
          <c:dPt>
            <c:idx val="1"/>
            <c:marker>
              <c:symbol val="circle"/>
              <c:size val="6"/>
            </c:marker>
            <c:bubble3D val="0"/>
          </c:dPt>
          <c:dLbls>
            <c:dLbl>
              <c:idx val="0"/>
              <c:layout>
                <c:manualLayout>
                  <c:x val="-3.9801152139094929E-2"/>
                  <c:y val="0.10695565398075241"/>
                </c:manualLayout>
              </c:layout>
              <c:dLblPos val="r"/>
              <c:showLegendKey val="0"/>
              <c:showVal val="0"/>
              <c:showCatName val="0"/>
              <c:showSerName val="1"/>
              <c:showPercent val="0"/>
              <c:showBubbleSize val="0"/>
            </c:dLbl>
            <c:txPr>
              <a:bodyPr/>
              <a:lstStyle/>
              <a:p>
                <a:pPr>
                  <a:defRPr b="1"/>
                </a:pPr>
                <a:endParaRPr lang="en-US"/>
              </a:p>
            </c:txPr>
            <c:showLegendKey val="0"/>
            <c:showVal val="0"/>
            <c:showCatName val="0"/>
            <c:showSerName val="0"/>
            <c:showPercent val="0"/>
            <c:showBubbleSize val="0"/>
          </c:dLbls>
          <c:xVal>
            <c:numRef>
              <c:f>'Figure 2'!$A$4:$A$13</c:f>
              <c:numCache>
                <c:formatCode>General</c:formatCode>
                <c:ptCount val="10"/>
                <c:pt idx="0">
                  <c:v>1</c:v>
                </c:pt>
                <c:pt idx="1">
                  <c:v>1</c:v>
                </c:pt>
                <c:pt idx="2" formatCode="0.00">
                  <c:v>1.7</c:v>
                </c:pt>
                <c:pt idx="3">
                  <c:v>2</c:v>
                </c:pt>
                <c:pt idx="4">
                  <c:v>2</c:v>
                </c:pt>
                <c:pt idx="5">
                  <c:v>0.7</c:v>
                </c:pt>
                <c:pt idx="6">
                  <c:v>0.7</c:v>
                </c:pt>
                <c:pt idx="7" formatCode="0.00">
                  <c:v>1.8199999999999996</c:v>
                </c:pt>
                <c:pt idx="8">
                  <c:v>2.2999999999999998</c:v>
                </c:pt>
                <c:pt idx="9">
                  <c:v>2.2999999999999998</c:v>
                </c:pt>
              </c:numCache>
            </c:numRef>
          </c:xVal>
          <c:yVal>
            <c:numRef>
              <c:f>'Figure 2'!$C$4:$C$13</c:f>
              <c:numCache>
                <c:formatCode>General</c:formatCode>
                <c:ptCount val="10"/>
                <c:pt idx="0">
                  <c:v>0</c:v>
                </c:pt>
                <c:pt idx="1">
                  <c:v>28</c:v>
                </c:pt>
              </c:numCache>
            </c:numRef>
          </c:yVal>
          <c:smooth val="0"/>
        </c:ser>
        <c:ser>
          <c:idx val="2"/>
          <c:order val="2"/>
          <c:tx>
            <c:strRef>
              <c:f>'Figure 2'!$D$3</c:f>
              <c:strCache>
                <c:ptCount val="1"/>
                <c:pt idx="0">
                  <c:v>Ask</c:v>
                </c:pt>
              </c:strCache>
            </c:strRef>
          </c:tx>
          <c:spPr>
            <a:ln>
              <a:prstDash val="solid"/>
            </a:ln>
          </c:spPr>
          <c:marker>
            <c:symbol val="none"/>
          </c:marker>
          <c:dPt>
            <c:idx val="3"/>
            <c:marker>
              <c:symbol val="circle"/>
              <c:size val="6"/>
            </c:marker>
            <c:bubble3D val="0"/>
          </c:dPt>
          <c:dLbls>
            <c:delete val="1"/>
          </c:dLbls>
          <c:xVal>
            <c:numRef>
              <c:f>'Figure 2'!$A$4:$A$13</c:f>
              <c:numCache>
                <c:formatCode>General</c:formatCode>
                <c:ptCount val="10"/>
                <c:pt idx="0">
                  <c:v>1</c:v>
                </c:pt>
                <c:pt idx="1">
                  <c:v>1</c:v>
                </c:pt>
                <c:pt idx="2" formatCode="0.00">
                  <c:v>1.7</c:v>
                </c:pt>
                <c:pt idx="3">
                  <c:v>2</c:v>
                </c:pt>
                <c:pt idx="4">
                  <c:v>2</c:v>
                </c:pt>
                <c:pt idx="5">
                  <c:v>0.7</c:v>
                </c:pt>
                <c:pt idx="6">
                  <c:v>0.7</c:v>
                </c:pt>
                <c:pt idx="7" formatCode="0.00">
                  <c:v>1.8199999999999996</c:v>
                </c:pt>
                <c:pt idx="8">
                  <c:v>2.2999999999999998</c:v>
                </c:pt>
                <c:pt idx="9">
                  <c:v>2.2999999999999998</c:v>
                </c:pt>
              </c:numCache>
            </c:numRef>
          </c:xVal>
          <c:yVal>
            <c:numRef>
              <c:f>'Figure 2'!$D$4:$D$13</c:f>
              <c:numCache>
                <c:formatCode>General</c:formatCode>
                <c:ptCount val="10"/>
                <c:pt idx="3">
                  <c:v>12</c:v>
                </c:pt>
                <c:pt idx="4">
                  <c:v>0</c:v>
                </c:pt>
              </c:numCache>
            </c:numRef>
          </c:yVal>
          <c:smooth val="0"/>
        </c:ser>
        <c:ser>
          <c:idx val="3"/>
          <c:order val="3"/>
          <c:tx>
            <c:strRef>
              <c:f>'Figure 2'!$E$3</c:f>
              <c:strCache>
                <c:ptCount val="1"/>
                <c:pt idx="0">
                  <c:v>Label</c:v>
                </c:pt>
              </c:strCache>
            </c:strRef>
          </c:tx>
          <c:marker>
            <c:symbol val="none"/>
          </c:marker>
          <c:dLbls>
            <c:delete val="1"/>
          </c:dLbls>
          <c:xVal>
            <c:numRef>
              <c:f>'Figure 2'!$A$4:$A$13</c:f>
              <c:numCache>
                <c:formatCode>General</c:formatCode>
                <c:ptCount val="10"/>
                <c:pt idx="0">
                  <c:v>1</c:v>
                </c:pt>
                <c:pt idx="1">
                  <c:v>1</c:v>
                </c:pt>
                <c:pt idx="2" formatCode="0.00">
                  <c:v>1.7</c:v>
                </c:pt>
                <c:pt idx="3">
                  <c:v>2</c:v>
                </c:pt>
                <c:pt idx="4">
                  <c:v>2</c:v>
                </c:pt>
                <c:pt idx="5">
                  <c:v>0.7</c:v>
                </c:pt>
                <c:pt idx="6">
                  <c:v>0.7</c:v>
                </c:pt>
                <c:pt idx="7" formatCode="0.00">
                  <c:v>1.8199999999999996</c:v>
                </c:pt>
                <c:pt idx="8">
                  <c:v>2.2999999999999998</c:v>
                </c:pt>
                <c:pt idx="9">
                  <c:v>2.2999999999999998</c:v>
                </c:pt>
              </c:numCache>
            </c:numRef>
          </c:xVal>
          <c:yVal>
            <c:numRef>
              <c:f>'Figure 2'!$E$4:$E$13</c:f>
              <c:numCache>
                <c:formatCode>General</c:formatCode>
                <c:ptCount val="10"/>
                <c:pt idx="1">
                  <c:v>0</c:v>
                </c:pt>
                <c:pt idx="3">
                  <c:v>0</c:v>
                </c:pt>
              </c:numCache>
            </c:numRef>
          </c:yVal>
          <c:smooth val="0"/>
        </c:ser>
        <c:ser>
          <c:idx val="4"/>
          <c:order val="4"/>
          <c:tx>
            <c:strRef>
              <c:f>'Figure 2'!$F$3</c:f>
              <c:strCache>
                <c:ptCount val="1"/>
                <c:pt idx="0">
                  <c:v>Bid-c</c:v>
                </c:pt>
              </c:strCache>
            </c:strRef>
          </c:tx>
          <c:spPr>
            <a:ln>
              <a:solidFill>
                <a:schemeClr val="accent2"/>
              </a:solidFill>
              <a:prstDash val="dash"/>
            </a:ln>
          </c:spPr>
          <c:marker>
            <c:symbol val="circle"/>
            <c:size val="6"/>
            <c:spPr>
              <a:solidFill>
                <a:schemeClr val="accent2"/>
              </a:solidFill>
              <a:ln>
                <a:solidFill>
                  <a:schemeClr val="accent2"/>
                </a:solidFill>
              </a:ln>
            </c:spPr>
          </c:marker>
          <c:dPt>
            <c:idx val="5"/>
            <c:marker>
              <c:symbol val="none"/>
            </c:marker>
            <c:bubble3D val="0"/>
          </c:dPt>
          <c:dLbls>
            <c:delete val="1"/>
          </c:dLbls>
          <c:xVal>
            <c:numRef>
              <c:f>'Figure 2'!$A$4:$A$13</c:f>
              <c:numCache>
                <c:formatCode>General</c:formatCode>
                <c:ptCount val="10"/>
                <c:pt idx="0">
                  <c:v>1</c:v>
                </c:pt>
                <c:pt idx="1">
                  <c:v>1</c:v>
                </c:pt>
                <c:pt idx="2" formatCode="0.00">
                  <c:v>1.7</c:v>
                </c:pt>
                <c:pt idx="3">
                  <c:v>2</c:v>
                </c:pt>
                <c:pt idx="4">
                  <c:v>2</c:v>
                </c:pt>
                <c:pt idx="5">
                  <c:v>0.7</c:v>
                </c:pt>
                <c:pt idx="6">
                  <c:v>0.7</c:v>
                </c:pt>
                <c:pt idx="7" formatCode="0.00">
                  <c:v>1.8199999999999996</c:v>
                </c:pt>
                <c:pt idx="8">
                  <c:v>2.2999999999999998</c:v>
                </c:pt>
                <c:pt idx="9">
                  <c:v>2.2999999999999998</c:v>
                </c:pt>
              </c:numCache>
            </c:numRef>
          </c:xVal>
          <c:yVal>
            <c:numRef>
              <c:f>'Figure 2'!$F$4:$F$13</c:f>
              <c:numCache>
                <c:formatCode>General</c:formatCode>
                <c:ptCount val="10"/>
                <c:pt idx="5">
                  <c:v>0</c:v>
                </c:pt>
                <c:pt idx="6">
                  <c:v>28</c:v>
                </c:pt>
              </c:numCache>
            </c:numRef>
          </c:yVal>
          <c:smooth val="0"/>
        </c:ser>
        <c:ser>
          <c:idx val="5"/>
          <c:order val="5"/>
          <c:tx>
            <c:strRef>
              <c:f>'Figure 2'!$G$3</c:f>
              <c:strCache>
                <c:ptCount val="1"/>
                <c:pt idx="0">
                  <c:v>Ask+c</c:v>
                </c:pt>
              </c:strCache>
            </c:strRef>
          </c:tx>
          <c:spPr>
            <a:ln>
              <a:solidFill>
                <a:schemeClr val="accent3"/>
              </a:solidFill>
              <a:prstDash val="dash"/>
            </a:ln>
          </c:spPr>
          <c:marker>
            <c:symbol val="circle"/>
            <c:size val="6"/>
            <c:spPr>
              <a:solidFill>
                <a:schemeClr val="accent3"/>
              </a:solidFill>
              <a:ln>
                <a:solidFill>
                  <a:schemeClr val="accent3"/>
                </a:solidFill>
              </a:ln>
            </c:spPr>
          </c:marker>
          <c:dPt>
            <c:idx val="9"/>
            <c:marker>
              <c:symbol val="none"/>
            </c:marker>
            <c:bubble3D val="0"/>
          </c:dPt>
          <c:dLbls>
            <c:delete val="1"/>
          </c:dLbls>
          <c:xVal>
            <c:numRef>
              <c:f>'Figure 2'!$A$4:$A$13</c:f>
              <c:numCache>
                <c:formatCode>General</c:formatCode>
                <c:ptCount val="10"/>
                <c:pt idx="0">
                  <c:v>1</c:v>
                </c:pt>
                <c:pt idx="1">
                  <c:v>1</c:v>
                </c:pt>
                <c:pt idx="2" formatCode="0.00">
                  <c:v>1.7</c:v>
                </c:pt>
                <c:pt idx="3">
                  <c:v>2</c:v>
                </c:pt>
                <c:pt idx="4">
                  <c:v>2</c:v>
                </c:pt>
                <c:pt idx="5">
                  <c:v>0.7</c:v>
                </c:pt>
                <c:pt idx="6">
                  <c:v>0.7</c:v>
                </c:pt>
                <c:pt idx="7" formatCode="0.00">
                  <c:v>1.8199999999999996</c:v>
                </c:pt>
                <c:pt idx="8">
                  <c:v>2.2999999999999998</c:v>
                </c:pt>
                <c:pt idx="9">
                  <c:v>2.2999999999999998</c:v>
                </c:pt>
              </c:numCache>
            </c:numRef>
          </c:xVal>
          <c:yVal>
            <c:numRef>
              <c:f>'Figure 2'!$G$4:$G$13</c:f>
              <c:numCache>
                <c:formatCode>General</c:formatCode>
                <c:ptCount val="10"/>
                <c:pt idx="8">
                  <c:v>12</c:v>
                </c:pt>
                <c:pt idx="9">
                  <c:v>0</c:v>
                </c:pt>
              </c:numCache>
            </c:numRef>
          </c:yVal>
          <c:smooth val="0"/>
        </c:ser>
        <c:ser>
          <c:idx val="6"/>
          <c:order val="6"/>
          <c:tx>
            <c:strRef>
              <c:f>'Figure 2'!$H$3</c:f>
              <c:strCache>
                <c:ptCount val="1"/>
                <c:pt idx="0">
                  <c:v>V</c:v>
                </c:pt>
              </c:strCache>
            </c:strRef>
          </c:tx>
          <c:spPr>
            <a:ln>
              <a:solidFill>
                <a:schemeClr val="accent1"/>
              </a:solidFill>
              <a:prstDash val="dash"/>
            </a:ln>
          </c:spPr>
          <c:marker>
            <c:symbol val="none"/>
          </c:marker>
          <c:dPt>
            <c:idx val="7"/>
            <c:marker>
              <c:symbol val="circle"/>
              <c:size val="6"/>
              <c:spPr>
                <a:solidFill>
                  <a:schemeClr val="accent1"/>
                </a:solidFill>
                <a:ln>
                  <a:solidFill>
                    <a:schemeClr val="accent1"/>
                  </a:solidFill>
                </a:ln>
              </c:spPr>
            </c:marker>
            <c:bubble3D val="0"/>
          </c:dPt>
          <c:dLbls>
            <c:delete val="1"/>
          </c:dLbls>
          <c:xVal>
            <c:numRef>
              <c:f>'Figure 2'!$A$4:$A$13</c:f>
              <c:numCache>
                <c:formatCode>General</c:formatCode>
                <c:ptCount val="10"/>
                <c:pt idx="0">
                  <c:v>1</c:v>
                </c:pt>
                <c:pt idx="1">
                  <c:v>1</c:v>
                </c:pt>
                <c:pt idx="2" formatCode="0.00">
                  <c:v>1.7</c:v>
                </c:pt>
                <c:pt idx="3">
                  <c:v>2</c:v>
                </c:pt>
                <c:pt idx="4">
                  <c:v>2</c:v>
                </c:pt>
                <c:pt idx="5">
                  <c:v>0.7</c:v>
                </c:pt>
                <c:pt idx="6">
                  <c:v>0.7</c:v>
                </c:pt>
                <c:pt idx="7" formatCode="0.00">
                  <c:v>1.8199999999999996</c:v>
                </c:pt>
                <c:pt idx="8">
                  <c:v>2.2999999999999998</c:v>
                </c:pt>
                <c:pt idx="9">
                  <c:v>2.2999999999999998</c:v>
                </c:pt>
              </c:numCache>
            </c:numRef>
          </c:xVal>
          <c:yVal>
            <c:numRef>
              <c:f>'Figure 2'!$H$4:$H$13</c:f>
              <c:numCache>
                <c:formatCode>General</c:formatCode>
                <c:ptCount val="10"/>
                <c:pt idx="6">
                  <c:v>28</c:v>
                </c:pt>
                <c:pt idx="7">
                  <c:v>0</c:v>
                </c:pt>
                <c:pt idx="8">
                  <c:v>12</c:v>
                </c:pt>
              </c:numCache>
            </c:numRef>
          </c:yVal>
          <c:smooth val="0"/>
        </c:ser>
        <c:dLbls>
          <c:showLegendKey val="0"/>
          <c:showVal val="1"/>
          <c:showCatName val="0"/>
          <c:showSerName val="0"/>
          <c:showPercent val="0"/>
          <c:showBubbleSize val="0"/>
        </c:dLbls>
        <c:axId val="259449984"/>
        <c:axId val="259450560"/>
      </c:scatterChart>
      <c:valAx>
        <c:axId val="259449984"/>
        <c:scaling>
          <c:orientation val="minMax"/>
          <c:max val="2.4"/>
          <c:min val="0.60000000000000009"/>
        </c:scaling>
        <c:delete val="0"/>
        <c:axPos val="b"/>
        <c:title>
          <c:tx>
            <c:rich>
              <a:bodyPr/>
              <a:lstStyle/>
              <a:p>
                <a:pPr>
                  <a:defRPr b="1"/>
                </a:pPr>
                <a:r>
                  <a:rPr lang="en-US" b="1"/>
                  <a:t>Price</a:t>
                </a:r>
              </a:p>
            </c:rich>
          </c:tx>
          <c:layout>
            <c:manualLayout>
              <c:xMode val="edge"/>
              <c:yMode val="edge"/>
              <c:x val="0.92334518081073202"/>
              <c:y val="0.75393509405074366"/>
            </c:manualLayout>
          </c:layout>
          <c:overlay val="0"/>
        </c:title>
        <c:numFmt formatCode="General" sourceLinked="1"/>
        <c:majorTickMark val="out"/>
        <c:minorTickMark val="none"/>
        <c:tickLblPos val="nextTo"/>
        <c:spPr>
          <a:ln>
            <a:solidFill>
              <a:schemeClr val="tx1"/>
            </a:solidFill>
          </a:ln>
        </c:spPr>
        <c:crossAx val="259450560"/>
        <c:crosses val="autoZero"/>
        <c:crossBetween val="midCat"/>
        <c:majorUnit val="0.2"/>
      </c:valAx>
      <c:valAx>
        <c:axId val="259450560"/>
        <c:scaling>
          <c:orientation val="minMax"/>
          <c:max val="30"/>
          <c:min val="0"/>
        </c:scaling>
        <c:delete val="0"/>
        <c:axPos val="l"/>
        <c:majorGridlines>
          <c:spPr>
            <a:ln>
              <a:noFill/>
            </a:ln>
          </c:spPr>
        </c:majorGridlines>
        <c:title>
          <c:tx>
            <c:rich>
              <a:bodyPr rot="0" vert="horz"/>
              <a:lstStyle/>
              <a:p>
                <a:pPr>
                  <a:defRPr b="1"/>
                </a:pPr>
                <a:r>
                  <a:rPr lang="en-US" b="1"/>
                  <a:t>Quotation</a:t>
                </a:r>
                <a:br>
                  <a:rPr lang="en-US" b="1"/>
                </a:br>
                <a:r>
                  <a:rPr lang="en-US" b="1"/>
                  <a:t>Sizes</a:t>
                </a:r>
              </a:p>
            </c:rich>
          </c:tx>
          <c:layout>
            <c:manualLayout>
              <c:xMode val="edge"/>
              <c:yMode val="edge"/>
              <c:x val="1.6666666666666666E-2"/>
              <c:y val="4.0759696704578609E-2"/>
            </c:manualLayout>
          </c:layout>
          <c:overlay val="0"/>
        </c:title>
        <c:numFmt formatCode="General" sourceLinked="1"/>
        <c:majorTickMark val="out"/>
        <c:minorTickMark val="none"/>
        <c:tickLblPos val="nextTo"/>
        <c:spPr>
          <a:ln>
            <a:solidFill>
              <a:schemeClr val="tx1"/>
            </a:solidFill>
          </a:ln>
        </c:spPr>
        <c:crossAx val="259449984"/>
        <c:crosses val="autoZero"/>
        <c:crossBetween val="midCat"/>
        <c:majorUnit val="5"/>
      </c:valAx>
    </c:plotArea>
    <c:plotVisOnly val="1"/>
    <c:dispBlanksAs val="gap"/>
    <c:showDLblsOverMax val="0"/>
  </c:chart>
  <c:spPr>
    <a:ln>
      <a:noFill/>
    </a:ln>
  </c:spPr>
  <c:txPr>
    <a:bodyPr/>
    <a:lstStyle/>
    <a:p>
      <a:pPr>
        <a:defRPr sz="1200" b="0"/>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strRef>
              <c:f>'Figure 3'!$B$3</c:f>
              <c:strCache>
                <c:ptCount val="1"/>
                <c:pt idx="0">
                  <c:v>V'</c:v>
                </c:pt>
              </c:strCache>
            </c:strRef>
          </c:tx>
          <c:spPr>
            <a:ln>
              <a:solidFill>
                <a:schemeClr val="accent1"/>
              </a:solidFill>
              <a:prstDash val="sysDot"/>
            </a:ln>
          </c:spPr>
          <c:marker>
            <c:symbol val="none"/>
          </c:marker>
          <c:dPt>
            <c:idx val="2"/>
            <c:marker>
              <c:symbol val="circle"/>
              <c:size val="6"/>
              <c:spPr>
                <a:noFill/>
                <a:ln>
                  <a:solidFill>
                    <a:schemeClr val="tx1"/>
                  </a:solidFill>
                </a:ln>
              </c:spPr>
            </c:marker>
            <c:bubble3D val="0"/>
          </c:dPt>
          <c:dPt>
            <c:idx val="3"/>
            <c:bubble3D val="0"/>
          </c:dPt>
          <c:dLbls>
            <c:dLbl>
              <c:idx val="1"/>
              <c:delete val="1"/>
            </c:dLbl>
            <c:dLbl>
              <c:idx val="2"/>
              <c:layout>
                <c:manualLayout>
                  <c:x val="-3.1706551162277677E-2"/>
                  <c:y val="-8.0208606736657917E-2"/>
                </c:manualLayout>
              </c:layout>
              <c:dLblPos val="r"/>
              <c:showLegendKey val="0"/>
              <c:showVal val="0"/>
              <c:showCatName val="0"/>
              <c:showSerName val="1"/>
              <c:showPercent val="0"/>
              <c:showBubbleSize val="0"/>
            </c:dLbl>
            <c:dLbl>
              <c:idx val="3"/>
              <c:delete val="1"/>
            </c:dLbl>
            <c:txPr>
              <a:bodyPr/>
              <a:lstStyle/>
              <a:p>
                <a:pPr>
                  <a:defRPr b="1"/>
                </a:pPr>
                <a:endParaRPr lang="en-US"/>
              </a:p>
            </c:txPr>
            <c:dLblPos val="b"/>
            <c:showLegendKey val="0"/>
            <c:showVal val="0"/>
            <c:showCatName val="0"/>
            <c:showSerName val="1"/>
            <c:showPercent val="0"/>
            <c:showBubbleSize val="0"/>
            <c:showLeaderLines val="0"/>
          </c:dLbls>
          <c:xVal>
            <c:numRef>
              <c:f>'Figure 3'!$A$4:$A$17</c:f>
              <c:numCache>
                <c:formatCode>General</c:formatCode>
                <c:ptCount val="14"/>
                <c:pt idx="0">
                  <c:v>1.7</c:v>
                </c:pt>
                <c:pt idx="1">
                  <c:v>1.7</c:v>
                </c:pt>
                <c:pt idx="2" formatCode="0.00">
                  <c:v>2.1399999999999997</c:v>
                </c:pt>
                <c:pt idx="3">
                  <c:v>3.3000000000000003</c:v>
                </c:pt>
                <c:pt idx="4">
                  <c:v>3.3000000000000003</c:v>
                </c:pt>
                <c:pt idx="5">
                  <c:v>0.7</c:v>
                </c:pt>
                <c:pt idx="6">
                  <c:v>0.7</c:v>
                </c:pt>
                <c:pt idx="7" formatCode="0.0000">
                  <c:v>2.1399999999999997</c:v>
                </c:pt>
                <c:pt idx="8">
                  <c:v>2.2999999999999998</c:v>
                </c:pt>
                <c:pt idx="9">
                  <c:v>2.2999999999999998</c:v>
                </c:pt>
                <c:pt idx="10">
                  <c:v>2</c:v>
                </c:pt>
                <c:pt idx="11">
                  <c:v>2</c:v>
                </c:pt>
                <c:pt idx="12">
                  <c:v>2</c:v>
                </c:pt>
                <c:pt idx="13">
                  <c:v>2</c:v>
                </c:pt>
              </c:numCache>
            </c:numRef>
          </c:xVal>
          <c:yVal>
            <c:numRef>
              <c:f>'Figure 3'!$B$4:$B$17</c:f>
              <c:numCache>
                <c:formatCode>General</c:formatCode>
                <c:ptCount val="14"/>
                <c:pt idx="1">
                  <c:v>11</c:v>
                </c:pt>
                <c:pt idx="2">
                  <c:v>0</c:v>
                </c:pt>
                <c:pt idx="3">
                  <c:v>29</c:v>
                </c:pt>
              </c:numCache>
            </c:numRef>
          </c:yVal>
          <c:smooth val="0"/>
        </c:ser>
        <c:ser>
          <c:idx val="1"/>
          <c:order val="1"/>
          <c:tx>
            <c:strRef>
              <c:f>'Figure 3'!$C$3</c:f>
              <c:strCache>
                <c:ptCount val="1"/>
                <c:pt idx="0">
                  <c:v>Bid</c:v>
                </c:pt>
              </c:strCache>
            </c:strRef>
          </c:tx>
          <c:spPr>
            <a:ln cmpd="sng">
              <a:solidFill>
                <a:schemeClr val="accent1"/>
              </a:solidFill>
              <a:prstDash val="sysDot"/>
            </a:ln>
          </c:spPr>
          <c:marker>
            <c:symbol val="none"/>
          </c:marker>
          <c:dPt>
            <c:idx val="1"/>
            <c:marker>
              <c:symbol val="circle"/>
              <c:size val="6"/>
            </c:marker>
            <c:bubble3D val="0"/>
          </c:dPt>
          <c:dLbls>
            <c:delete val="1"/>
          </c:dLbls>
          <c:xVal>
            <c:numRef>
              <c:f>'Figure 3'!$A$4:$A$17</c:f>
              <c:numCache>
                <c:formatCode>General</c:formatCode>
                <c:ptCount val="14"/>
                <c:pt idx="0">
                  <c:v>1.7</c:v>
                </c:pt>
                <c:pt idx="1">
                  <c:v>1.7</c:v>
                </c:pt>
                <c:pt idx="2" formatCode="0.00">
                  <c:v>2.1399999999999997</c:v>
                </c:pt>
                <c:pt idx="3">
                  <c:v>3.3000000000000003</c:v>
                </c:pt>
                <c:pt idx="4">
                  <c:v>3.3000000000000003</c:v>
                </c:pt>
                <c:pt idx="5">
                  <c:v>0.7</c:v>
                </c:pt>
                <c:pt idx="6">
                  <c:v>0.7</c:v>
                </c:pt>
                <c:pt idx="7" formatCode="0.0000">
                  <c:v>2.1399999999999997</c:v>
                </c:pt>
                <c:pt idx="8">
                  <c:v>2.2999999999999998</c:v>
                </c:pt>
                <c:pt idx="9">
                  <c:v>2.2999999999999998</c:v>
                </c:pt>
                <c:pt idx="10">
                  <c:v>2</c:v>
                </c:pt>
                <c:pt idx="11">
                  <c:v>2</c:v>
                </c:pt>
                <c:pt idx="12">
                  <c:v>2</c:v>
                </c:pt>
                <c:pt idx="13">
                  <c:v>2</c:v>
                </c:pt>
              </c:numCache>
            </c:numRef>
          </c:xVal>
          <c:yVal>
            <c:numRef>
              <c:f>'Figure 3'!$C$4:$C$17</c:f>
              <c:numCache>
                <c:formatCode>General</c:formatCode>
                <c:ptCount val="14"/>
                <c:pt idx="0">
                  <c:v>0</c:v>
                </c:pt>
                <c:pt idx="1">
                  <c:v>11</c:v>
                </c:pt>
              </c:numCache>
            </c:numRef>
          </c:yVal>
          <c:smooth val="0"/>
        </c:ser>
        <c:ser>
          <c:idx val="2"/>
          <c:order val="2"/>
          <c:tx>
            <c:strRef>
              <c:f>'Figure 3'!$D$3</c:f>
              <c:strCache>
                <c:ptCount val="1"/>
                <c:pt idx="0">
                  <c:v>Ask</c:v>
                </c:pt>
              </c:strCache>
            </c:strRef>
          </c:tx>
          <c:spPr>
            <a:ln>
              <a:solidFill>
                <a:schemeClr val="accent1"/>
              </a:solidFill>
              <a:prstDash val="sysDot"/>
            </a:ln>
          </c:spPr>
          <c:marker>
            <c:symbol val="none"/>
          </c:marker>
          <c:dPt>
            <c:idx val="3"/>
            <c:marker>
              <c:symbol val="circle"/>
              <c:size val="6"/>
            </c:marker>
            <c:bubble3D val="0"/>
          </c:dPt>
          <c:dLbls>
            <c:dLbl>
              <c:idx val="3"/>
              <c:delete val="1"/>
            </c:dLbl>
            <c:dLbl>
              <c:idx val="4"/>
              <c:delete val="1"/>
            </c:dLbl>
            <c:txPr>
              <a:bodyPr/>
              <a:lstStyle/>
              <a:p>
                <a:pPr>
                  <a:defRPr b="1"/>
                </a:pPr>
                <a:endParaRPr lang="en-US"/>
              </a:p>
            </c:txPr>
            <c:dLblPos val="t"/>
            <c:showLegendKey val="0"/>
            <c:showVal val="0"/>
            <c:showCatName val="0"/>
            <c:showSerName val="1"/>
            <c:showPercent val="0"/>
            <c:showBubbleSize val="0"/>
            <c:showLeaderLines val="0"/>
          </c:dLbls>
          <c:xVal>
            <c:numRef>
              <c:f>'Figure 3'!$A$4:$A$17</c:f>
              <c:numCache>
                <c:formatCode>General</c:formatCode>
                <c:ptCount val="14"/>
                <c:pt idx="0">
                  <c:v>1.7</c:v>
                </c:pt>
                <c:pt idx="1">
                  <c:v>1.7</c:v>
                </c:pt>
                <c:pt idx="2" formatCode="0.00">
                  <c:v>2.1399999999999997</c:v>
                </c:pt>
                <c:pt idx="3">
                  <c:v>3.3000000000000003</c:v>
                </c:pt>
                <c:pt idx="4">
                  <c:v>3.3000000000000003</c:v>
                </c:pt>
                <c:pt idx="5">
                  <c:v>0.7</c:v>
                </c:pt>
                <c:pt idx="6">
                  <c:v>0.7</c:v>
                </c:pt>
                <c:pt idx="7" formatCode="0.0000">
                  <c:v>2.1399999999999997</c:v>
                </c:pt>
                <c:pt idx="8">
                  <c:v>2.2999999999999998</c:v>
                </c:pt>
                <c:pt idx="9">
                  <c:v>2.2999999999999998</c:v>
                </c:pt>
                <c:pt idx="10">
                  <c:v>2</c:v>
                </c:pt>
                <c:pt idx="11">
                  <c:v>2</c:v>
                </c:pt>
                <c:pt idx="12">
                  <c:v>2</c:v>
                </c:pt>
                <c:pt idx="13">
                  <c:v>2</c:v>
                </c:pt>
              </c:numCache>
            </c:numRef>
          </c:xVal>
          <c:yVal>
            <c:numRef>
              <c:f>'Figure 3'!$D$4:$D$17</c:f>
              <c:numCache>
                <c:formatCode>General</c:formatCode>
                <c:ptCount val="14"/>
                <c:pt idx="3">
                  <c:v>29</c:v>
                </c:pt>
                <c:pt idx="4">
                  <c:v>0</c:v>
                </c:pt>
              </c:numCache>
            </c:numRef>
          </c:yVal>
          <c:smooth val="0"/>
        </c:ser>
        <c:ser>
          <c:idx val="3"/>
          <c:order val="3"/>
          <c:tx>
            <c:strRef>
              <c:f>'Figure 3'!$E$3</c:f>
              <c:strCache>
                <c:ptCount val="1"/>
                <c:pt idx="0">
                  <c:v>Label</c:v>
                </c:pt>
              </c:strCache>
            </c:strRef>
          </c:tx>
          <c:marker>
            <c:symbol val="none"/>
          </c:marker>
          <c:dLbls>
            <c:delete val="1"/>
          </c:dLbls>
          <c:xVal>
            <c:numRef>
              <c:f>'Figure 3'!$A$4:$A$17</c:f>
              <c:numCache>
                <c:formatCode>General</c:formatCode>
                <c:ptCount val="14"/>
                <c:pt idx="0">
                  <c:v>1.7</c:v>
                </c:pt>
                <c:pt idx="1">
                  <c:v>1.7</c:v>
                </c:pt>
                <c:pt idx="2" formatCode="0.00">
                  <c:v>2.1399999999999997</c:v>
                </c:pt>
                <c:pt idx="3">
                  <c:v>3.3000000000000003</c:v>
                </c:pt>
                <c:pt idx="4">
                  <c:v>3.3000000000000003</c:v>
                </c:pt>
                <c:pt idx="5">
                  <c:v>0.7</c:v>
                </c:pt>
                <c:pt idx="6">
                  <c:v>0.7</c:v>
                </c:pt>
                <c:pt idx="7" formatCode="0.0000">
                  <c:v>2.1399999999999997</c:v>
                </c:pt>
                <c:pt idx="8">
                  <c:v>2.2999999999999998</c:v>
                </c:pt>
                <c:pt idx="9">
                  <c:v>2.2999999999999998</c:v>
                </c:pt>
                <c:pt idx="10">
                  <c:v>2</c:v>
                </c:pt>
                <c:pt idx="11">
                  <c:v>2</c:v>
                </c:pt>
                <c:pt idx="12">
                  <c:v>2</c:v>
                </c:pt>
                <c:pt idx="13">
                  <c:v>2</c:v>
                </c:pt>
              </c:numCache>
            </c:numRef>
          </c:xVal>
          <c:yVal>
            <c:numRef>
              <c:f>'Figure 3'!$E$4:$E$17</c:f>
              <c:numCache>
                <c:formatCode>General</c:formatCode>
                <c:ptCount val="14"/>
                <c:pt idx="1">
                  <c:v>0</c:v>
                </c:pt>
                <c:pt idx="3">
                  <c:v>0</c:v>
                </c:pt>
              </c:numCache>
            </c:numRef>
          </c:yVal>
          <c:smooth val="0"/>
        </c:ser>
        <c:ser>
          <c:idx val="4"/>
          <c:order val="4"/>
          <c:tx>
            <c:strRef>
              <c:f>'Figure 3'!$F$3</c:f>
              <c:strCache>
                <c:ptCount val="1"/>
                <c:pt idx="0">
                  <c:v>Bid-c</c:v>
                </c:pt>
              </c:strCache>
            </c:strRef>
          </c:tx>
          <c:spPr>
            <a:ln>
              <a:solidFill>
                <a:schemeClr val="accent2"/>
              </a:solidFill>
              <a:prstDash val="dash"/>
            </a:ln>
          </c:spPr>
          <c:marker>
            <c:symbol val="circle"/>
            <c:size val="6"/>
            <c:spPr>
              <a:solidFill>
                <a:schemeClr val="accent2"/>
              </a:solidFill>
              <a:ln>
                <a:solidFill>
                  <a:schemeClr val="accent2"/>
                </a:solidFill>
              </a:ln>
            </c:spPr>
          </c:marker>
          <c:dPt>
            <c:idx val="5"/>
            <c:marker>
              <c:symbol val="none"/>
            </c:marker>
            <c:bubble3D val="0"/>
          </c:dPt>
          <c:dLbls>
            <c:delete val="1"/>
          </c:dLbls>
          <c:xVal>
            <c:numRef>
              <c:f>'Figure 3'!$A$4:$A$17</c:f>
              <c:numCache>
                <c:formatCode>General</c:formatCode>
                <c:ptCount val="14"/>
                <c:pt idx="0">
                  <c:v>1.7</c:v>
                </c:pt>
                <c:pt idx="1">
                  <c:v>1.7</c:v>
                </c:pt>
                <c:pt idx="2" formatCode="0.00">
                  <c:v>2.1399999999999997</c:v>
                </c:pt>
                <c:pt idx="3">
                  <c:v>3.3000000000000003</c:v>
                </c:pt>
                <c:pt idx="4">
                  <c:v>3.3000000000000003</c:v>
                </c:pt>
                <c:pt idx="5">
                  <c:v>0.7</c:v>
                </c:pt>
                <c:pt idx="6">
                  <c:v>0.7</c:v>
                </c:pt>
                <c:pt idx="7" formatCode="0.0000">
                  <c:v>2.1399999999999997</c:v>
                </c:pt>
                <c:pt idx="8">
                  <c:v>2.2999999999999998</c:v>
                </c:pt>
                <c:pt idx="9">
                  <c:v>2.2999999999999998</c:v>
                </c:pt>
                <c:pt idx="10">
                  <c:v>2</c:v>
                </c:pt>
                <c:pt idx="11">
                  <c:v>2</c:v>
                </c:pt>
                <c:pt idx="12">
                  <c:v>2</c:v>
                </c:pt>
                <c:pt idx="13">
                  <c:v>2</c:v>
                </c:pt>
              </c:numCache>
            </c:numRef>
          </c:xVal>
          <c:yVal>
            <c:numRef>
              <c:f>'Figure 3'!$F$4:$F$17</c:f>
              <c:numCache>
                <c:formatCode>General</c:formatCode>
                <c:ptCount val="14"/>
                <c:pt idx="5">
                  <c:v>0</c:v>
                </c:pt>
                <c:pt idx="6">
                  <c:v>36</c:v>
                </c:pt>
              </c:numCache>
            </c:numRef>
          </c:yVal>
          <c:smooth val="0"/>
        </c:ser>
        <c:ser>
          <c:idx val="5"/>
          <c:order val="5"/>
          <c:tx>
            <c:strRef>
              <c:f>'Figure 3'!$G$3</c:f>
              <c:strCache>
                <c:ptCount val="1"/>
                <c:pt idx="0">
                  <c:v>Ask+c</c:v>
                </c:pt>
              </c:strCache>
            </c:strRef>
          </c:tx>
          <c:spPr>
            <a:ln>
              <a:solidFill>
                <a:schemeClr val="accent2"/>
              </a:solidFill>
              <a:prstDash val="dash"/>
            </a:ln>
          </c:spPr>
          <c:marker>
            <c:symbol val="circle"/>
            <c:size val="6"/>
            <c:spPr>
              <a:solidFill>
                <a:schemeClr val="accent2"/>
              </a:solidFill>
              <a:ln>
                <a:solidFill>
                  <a:schemeClr val="accent2"/>
                </a:solidFill>
              </a:ln>
            </c:spPr>
          </c:marker>
          <c:dPt>
            <c:idx val="9"/>
            <c:marker>
              <c:symbol val="none"/>
            </c:marker>
            <c:bubble3D val="0"/>
          </c:dPt>
          <c:dLbls>
            <c:delete val="1"/>
          </c:dLbls>
          <c:xVal>
            <c:numRef>
              <c:f>'Figure 3'!$A$4:$A$17</c:f>
              <c:numCache>
                <c:formatCode>General</c:formatCode>
                <c:ptCount val="14"/>
                <c:pt idx="0">
                  <c:v>1.7</c:v>
                </c:pt>
                <c:pt idx="1">
                  <c:v>1.7</c:v>
                </c:pt>
                <c:pt idx="2" formatCode="0.00">
                  <c:v>2.1399999999999997</c:v>
                </c:pt>
                <c:pt idx="3">
                  <c:v>3.3000000000000003</c:v>
                </c:pt>
                <c:pt idx="4">
                  <c:v>3.3000000000000003</c:v>
                </c:pt>
                <c:pt idx="5">
                  <c:v>0.7</c:v>
                </c:pt>
                <c:pt idx="6">
                  <c:v>0.7</c:v>
                </c:pt>
                <c:pt idx="7" formatCode="0.0000">
                  <c:v>2.1399999999999997</c:v>
                </c:pt>
                <c:pt idx="8">
                  <c:v>2.2999999999999998</c:v>
                </c:pt>
                <c:pt idx="9">
                  <c:v>2.2999999999999998</c:v>
                </c:pt>
                <c:pt idx="10">
                  <c:v>2</c:v>
                </c:pt>
                <c:pt idx="11">
                  <c:v>2</c:v>
                </c:pt>
                <c:pt idx="12">
                  <c:v>2</c:v>
                </c:pt>
                <c:pt idx="13">
                  <c:v>2</c:v>
                </c:pt>
              </c:numCache>
            </c:numRef>
          </c:xVal>
          <c:yVal>
            <c:numRef>
              <c:f>'Figure 3'!$G$4:$G$17</c:f>
              <c:numCache>
                <c:formatCode>General</c:formatCode>
                <c:ptCount val="14"/>
                <c:pt idx="8">
                  <c:v>4</c:v>
                </c:pt>
                <c:pt idx="9">
                  <c:v>0</c:v>
                </c:pt>
              </c:numCache>
            </c:numRef>
          </c:yVal>
          <c:smooth val="0"/>
        </c:ser>
        <c:ser>
          <c:idx val="6"/>
          <c:order val="6"/>
          <c:tx>
            <c:strRef>
              <c:f>'Figure 3'!$H$3</c:f>
              <c:strCache>
                <c:ptCount val="1"/>
                <c:pt idx="0">
                  <c:v>V</c:v>
                </c:pt>
              </c:strCache>
            </c:strRef>
          </c:tx>
          <c:spPr>
            <a:ln>
              <a:solidFill>
                <a:schemeClr val="accent2"/>
              </a:solidFill>
              <a:prstDash val="dash"/>
            </a:ln>
          </c:spPr>
          <c:marker>
            <c:symbol val="none"/>
          </c:marker>
          <c:dPt>
            <c:idx val="7"/>
            <c:marker>
              <c:symbol val="circle"/>
              <c:size val="6"/>
              <c:spPr>
                <a:noFill/>
                <a:ln>
                  <a:solidFill>
                    <a:schemeClr val="tx1"/>
                  </a:solidFill>
                </a:ln>
              </c:spPr>
            </c:marker>
            <c:bubble3D val="0"/>
          </c:dPt>
          <c:dPt>
            <c:idx val="8"/>
            <c:marker>
              <c:symbol val="circle"/>
              <c:size val="6"/>
            </c:marker>
            <c:bubble3D val="0"/>
          </c:dPt>
          <c:dLbls>
            <c:delete val="1"/>
          </c:dLbls>
          <c:xVal>
            <c:numRef>
              <c:f>'Figure 3'!$A$4:$A$17</c:f>
              <c:numCache>
                <c:formatCode>General</c:formatCode>
                <c:ptCount val="14"/>
                <c:pt idx="0">
                  <c:v>1.7</c:v>
                </c:pt>
                <c:pt idx="1">
                  <c:v>1.7</c:v>
                </c:pt>
                <c:pt idx="2" formatCode="0.00">
                  <c:v>2.1399999999999997</c:v>
                </c:pt>
                <c:pt idx="3">
                  <c:v>3.3000000000000003</c:v>
                </c:pt>
                <c:pt idx="4">
                  <c:v>3.3000000000000003</c:v>
                </c:pt>
                <c:pt idx="5">
                  <c:v>0.7</c:v>
                </c:pt>
                <c:pt idx="6">
                  <c:v>0.7</c:v>
                </c:pt>
                <c:pt idx="7" formatCode="0.0000">
                  <c:v>2.1399999999999997</c:v>
                </c:pt>
                <c:pt idx="8">
                  <c:v>2.2999999999999998</c:v>
                </c:pt>
                <c:pt idx="9">
                  <c:v>2.2999999999999998</c:v>
                </c:pt>
                <c:pt idx="10">
                  <c:v>2</c:v>
                </c:pt>
                <c:pt idx="11">
                  <c:v>2</c:v>
                </c:pt>
                <c:pt idx="12">
                  <c:v>2</c:v>
                </c:pt>
                <c:pt idx="13">
                  <c:v>2</c:v>
                </c:pt>
              </c:numCache>
            </c:numRef>
          </c:xVal>
          <c:yVal>
            <c:numRef>
              <c:f>'Figure 3'!$H$4:$H$17</c:f>
              <c:numCache>
                <c:formatCode>General</c:formatCode>
                <c:ptCount val="14"/>
                <c:pt idx="6">
                  <c:v>36</c:v>
                </c:pt>
                <c:pt idx="7">
                  <c:v>0</c:v>
                </c:pt>
                <c:pt idx="8">
                  <c:v>4</c:v>
                </c:pt>
              </c:numCache>
            </c:numRef>
          </c:yVal>
          <c:smooth val="0"/>
        </c:ser>
        <c:dLbls>
          <c:showLegendKey val="0"/>
          <c:showVal val="1"/>
          <c:showCatName val="0"/>
          <c:showSerName val="0"/>
          <c:showPercent val="0"/>
          <c:showBubbleSize val="0"/>
        </c:dLbls>
        <c:axId val="259451712"/>
        <c:axId val="259452288"/>
      </c:scatterChart>
      <c:valAx>
        <c:axId val="259451712"/>
        <c:scaling>
          <c:orientation val="minMax"/>
          <c:max val="3.5"/>
          <c:min val="0.5"/>
        </c:scaling>
        <c:delete val="0"/>
        <c:axPos val="b"/>
        <c:title>
          <c:tx>
            <c:rich>
              <a:bodyPr/>
              <a:lstStyle/>
              <a:p>
                <a:pPr>
                  <a:defRPr b="1"/>
                </a:pPr>
                <a:r>
                  <a:rPr lang="en-US" b="1"/>
                  <a:t>Price</a:t>
                </a:r>
              </a:p>
            </c:rich>
          </c:tx>
          <c:layout>
            <c:manualLayout>
              <c:xMode val="edge"/>
              <c:yMode val="edge"/>
              <c:x val="0.92796369203849516"/>
              <c:y val="0.74699064960629924"/>
            </c:manualLayout>
          </c:layout>
          <c:overlay val="0"/>
        </c:title>
        <c:numFmt formatCode="General" sourceLinked="1"/>
        <c:majorTickMark val="out"/>
        <c:minorTickMark val="none"/>
        <c:tickLblPos val="nextTo"/>
        <c:spPr>
          <a:ln>
            <a:solidFill>
              <a:schemeClr val="tx1"/>
            </a:solidFill>
          </a:ln>
        </c:spPr>
        <c:crossAx val="259452288"/>
        <c:crosses val="autoZero"/>
        <c:crossBetween val="midCat"/>
        <c:majorUnit val="0.5"/>
      </c:valAx>
      <c:valAx>
        <c:axId val="259452288"/>
        <c:scaling>
          <c:orientation val="minMax"/>
          <c:max val="36"/>
          <c:min val="0"/>
        </c:scaling>
        <c:delete val="0"/>
        <c:axPos val="l"/>
        <c:majorGridlines>
          <c:spPr>
            <a:ln>
              <a:noFill/>
            </a:ln>
          </c:spPr>
        </c:majorGridlines>
        <c:title>
          <c:tx>
            <c:rich>
              <a:bodyPr rot="0" vert="horz"/>
              <a:lstStyle/>
              <a:p>
                <a:pPr>
                  <a:defRPr b="1"/>
                </a:pPr>
                <a:r>
                  <a:rPr lang="en-US" b="1"/>
                  <a:t>Quotation</a:t>
                </a:r>
                <a:br>
                  <a:rPr lang="en-US" b="1"/>
                </a:br>
                <a:r>
                  <a:rPr lang="en-US" b="1"/>
                  <a:t>Sizes</a:t>
                </a:r>
              </a:p>
            </c:rich>
          </c:tx>
          <c:layout>
            <c:manualLayout>
              <c:xMode val="edge"/>
              <c:yMode val="edge"/>
              <c:x val="1.6666666666666666E-2"/>
              <c:y val="4.0759696704578609E-2"/>
            </c:manualLayout>
          </c:layout>
          <c:overlay val="0"/>
        </c:title>
        <c:numFmt formatCode="General" sourceLinked="1"/>
        <c:majorTickMark val="out"/>
        <c:minorTickMark val="none"/>
        <c:tickLblPos val="nextTo"/>
        <c:spPr>
          <a:ln>
            <a:solidFill>
              <a:schemeClr val="tx1"/>
            </a:solidFill>
          </a:ln>
        </c:spPr>
        <c:crossAx val="259451712"/>
        <c:crosses val="autoZero"/>
        <c:crossBetween val="midCat"/>
        <c:majorUnit val="5"/>
      </c:valAx>
    </c:plotArea>
    <c:plotVisOnly val="1"/>
    <c:dispBlanksAs val="gap"/>
    <c:showDLblsOverMax val="0"/>
  </c:chart>
  <c:spPr>
    <a:ln>
      <a:noFill/>
    </a:ln>
  </c:spPr>
  <c:txPr>
    <a:bodyPr/>
    <a:lstStyle/>
    <a:p>
      <a:pPr>
        <a:defRPr sz="1200" b="0"/>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0.67391</cdr:x>
      <cdr:y>0.74092</cdr:y>
    </cdr:from>
    <cdr:to>
      <cdr:x>0.81437</cdr:x>
      <cdr:y>0.8157</cdr:y>
    </cdr:to>
    <cdr:sp macro="" textlink="">
      <cdr:nvSpPr>
        <cdr:cNvPr id="2" name="TextBox 1"/>
        <cdr:cNvSpPr txBox="1"/>
      </cdr:nvSpPr>
      <cdr:spPr>
        <a:xfrm xmlns:a="http://schemas.openxmlformats.org/drawingml/2006/main">
          <a:off x="3697334" y="2709982"/>
          <a:ext cx="770623" cy="27353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1200">
              <a:effectLst/>
              <a:latin typeface="+mn-lt"/>
              <a:ea typeface="+mn-ea"/>
              <a:cs typeface="+mn-cs"/>
              <a:sym typeface="Symbol"/>
            </a:rPr>
            <a:t>2 = 1</a:t>
          </a:r>
          <a:endParaRPr lang="en-US" sz="1200">
            <a:effectLst/>
          </a:endParaRPr>
        </a:p>
        <a:p xmlns:a="http://schemas.openxmlformats.org/drawingml/2006/main">
          <a:endParaRPr lang="en-US" sz="1100"/>
        </a:p>
      </cdr:txBody>
    </cdr:sp>
  </cdr:relSizeAnchor>
  <cdr:relSizeAnchor xmlns:cdr="http://schemas.openxmlformats.org/drawingml/2006/chartDrawing">
    <cdr:from>
      <cdr:x>0.5795</cdr:x>
      <cdr:y>0.74121</cdr:y>
    </cdr:from>
    <cdr:to>
      <cdr:x>0.65963</cdr:x>
      <cdr:y>0.816</cdr:y>
    </cdr:to>
    <cdr:sp macro="" textlink="">
      <cdr:nvSpPr>
        <cdr:cNvPr id="3" name="TextBox 2"/>
        <cdr:cNvSpPr txBox="1"/>
      </cdr:nvSpPr>
      <cdr:spPr>
        <a:xfrm xmlns:a="http://schemas.openxmlformats.org/drawingml/2006/main">
          <a:off x="3179389" y="2711046"/>
          <a:ext cx="439626" cy="27355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1200">
              <a:effectLst/>
              <a:latin typeface="+mn-lt"/>
              <a:ea typeface="+mn-ea"/>
              <a:cs typeface="+mn-cs"/>
              <a:sym typeface="Symbol"/>
            </a:rPr>
            <a:t></a:t>
          </a:r>
          <a:r>
            <a:rPr lang="en-US" sz="1200">
              <a:effectLst/>
              <a:latin typeface="+mn-lt"/>
              <a:ea typeface="+mn-ea"/>
              <a:cs typeface="+mn-cs"/>
            </a:rPr>
            <a:t>1</a:t>
          </a:r>
          <a:endParaRPr lang="en-US" sz="1200">
            <a:effectLst/>
          </a:endParaRPr>
        </a:p>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0.85684</cdr:x>
      <cdr:y>0.88822</cdr:y>
    </cdr:from>
    <cdr:to>
      <cdr:x>0.99992</cdr:x>
      <cdr:y>0.95633</cdr:y>
    </cdr:to>
    <cdr:sp macro="" textlink="">
      <cdr:nvSpPr>
        <cdr:cNvPr id="4" name="TextBox 3"/>
        <cdr:cNvSpPr txBox="1"/>
      </cdr:nvSpPr>
      <cdr:spPr>
        <a:xfrm xmlns:a="http://schemas.openxmlformats.org/drawingml/2006/main">
          <a:off x="4693920" y="3248753"/>
          <a:ext cx="783771" cy="2491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b="1"/>
            <a:t>Ask+</a:t>
          </a:r>
          <a:r>
            <a:rPr lang="en-US" sz="1200" b="1">
              <a:effectLst/>
              <a:latin typeface="+mn-lt"/>
              <a:ea typeface="+mn-ea"/>
              <a:cs typeface="+mn-cs"/>
            </a:rPr>
            <a:t>0.3¢</a:t>
          </a:r>
          <a:endParaRPr lang="en-US" sz="1200" b="1"/>
        </a:p>
      </cdr:txBody>
    </cdr:sp>
  </cdr:relSizeAnchor>
  <cdr:relSizeAnchor xmlns:cdr="http://schemas.openxmlformats.org/drawingml/2006/chartDrawing">
    <cdr:from>
      <cdr:x>0.2094</cdr:x>
      <cdr:y>0.88822</cdr:y>
    </cdr:from>
    <cdr:to>
      <cdr:x>0.35764</cdr:x>
      <cdr:y>0.94431</cdr:y>
    </cdr:to>
    <cdr:sp macro="" textlink="">
      <cdr:nvSpPr>
        <cdr:cNvPr id="5" name="TextBox 4"/>
        <cdr:cNvSpPr txBox="1"/>
      </cdr:nvSpPr>
      <cdr:spPr>
        <a:xfrm xmlns:a="http://schemas.openxmlformats.org/drawingml/2006/main">
          <a:off x="1148860" y="3248758"/>
          <a:ext cx="813289" cy="20515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b="1"/>
            <a:t>Bid-</a:t>
          </a:r>
          <a:r>
            <a:rPr lang="en-US" sz="1200" b="1">
              <a:effectLst/>
              <a:latin typeface="+mn-lt"/>
              <a:ea typeface="+mn-ea"/>
              <a:cs typeface="+mn-cs"/>
            </a:rPr>
            <a:t>0.3¢</a:t>
          </a:r>
          <a:endParaRPr lang="en-US" sz="1200" b="1"/>
        </a:p>
      </cdr:txBody>
    </cdr:sp>
  </cdr:relSizeAnchor>
  <cdr:relSizeAnchor xmlns:cdr="http://schemas.openxmlformats.org/drawingml/2006/chartDrawing">
    <cdr:from>
      <cdr:x>0.2695</cdr:x>
      <cdr:y>0.09695</cdr:y>
    </cdr:from>
    <cdr:to>
      <cdr:x>0.36031</cdr:x>
      <cdr:y>0.09695</cdr:y>
    </cdr:to>
    <cdr:cxnSp macro="">
      <cdr:nvCxnSpPr>
        <cdr:cNvPr id="7" name="Straight Arrow Connector 6"/>
        <cdr:cNvCxnSpPr/>
      </cdr:nvCxnSpPr>
      <cdr:spPr>
        <a:xfrm xmlns:a="http://schemas.openxmlformats.org/drawingml/2006/main" flipH="1">
          <a:off x="1478573" y="354622"/>
          <a:ext cx="498231" cy="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0.80636</cdr:x>
      <cdr:y>0.50962</cdr:y>
    </cdr:from>
    <cdr:to>
      <cdr:x>0.90118</cdr:x>
      <cdr:y>0.50962</cdr:y>
    </cdr:to>
    <cdr:cxnSp macro="">
      <cdr:nvCxnSpPr>
        <cdr:cNvPr id="9" name="Straight Arrow Connector 8"/>
        <cdr:cNvCxnSpPr/>
      </cdr:nvCxnSpPr>
      <cdr:spPr>
        <a:xfrm xmlns:a="http://schemas.openxmlformats.org/drawingml/2006/main" flipV="1">
          <a:off x="4423996" y="1863969"/>
          <a:ext cx="520211" cy="2"/>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0.27751</cdr:x>
      <cdr:y>0.02284</cdr:y>
    </cdr:from>
    <cdr:to>
      <cdr:x>0.3977</cdr:x>
      <cdr:y>0.10096</cdr:y>
    </cdr:to>
    <cdr:sp macro="" textlink="">
      <cdr:nvSpPr>
        <cdr:cNvPr id="12" name="TextBox 11"/>
        <cdr:cNvSpPr txBox="1"/>
      </cdr:nvSpPr>
      <cdr:spPr>
        <a:xfrm xmlns:a="http://schemas.openxmlformats.org/drawingml/2006/main">
          <a:off x="1522534" y="83527"/>
          <a:ext cx="659424"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b="1"/>
            <a:t>-</a:t>
          </a:r>
          <a:r>
            <a:rPr lang="en-US" sz="1200" b="1">
              <a:effectLst/>
              <a:latin typeface="+mn-lt"/>
              <a:ea typeface="+mn-ea"/>
              <a:cs typeface="+mn-cs"/>
            </a:rPr>
            <a:t>0.3¢</a:t>
          </a:r>
          <a:endParaRPr lang="en-US" sz="1200" b="1"/>
        </a:p>
      </cdr:txBody>
    </cdr:sp>
  </cdr:relSizeAnchor>
  <cdr:relSizeAnchor xmlns:cdr="http://schemas.openxmlformats.org/drawingml/2006/chartDrawing">
    <cdr:from>
      <cdr:x>0.81437</cdr:x>
      <cdr:y>0.42949</cdr:y>
    </cdr:from>
    <cdr:to>
      <cdr:x>0.92121</cdr:x>
      <cdr:y>0.50761</cdr:y>
    </cdr:to>
    <cdr:sp macro="" textlink="">
      <cdr:nvSpPr>
        <cdr:cNvPr id="13" name="TextBox 12"/>
        <cdr:cNvSpPr txBox="1"/>
      </cdr:nvSpPr>
      <cdr:spPr>
        <a:xfrm xmlns:a="http://schemas.openxmlformats.org/drawingml/2006/main">
          <a:off x="4467956" y="1570892"/>
          <a:ext cx="586156"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b="1"/>
            <a:t>+0.3</a:t>
          </a:r>
          <a:r>
            <a:rPr lang="en-US" sz="1200" b="1">
              <a:effectLst/>
              <a:latin typeface="+mn-lt"/>
              <a:ea typeface="+mn-ea"/>
              <a:cs typeface="+mn-cs"/>
            </a:rPr>
            <a:t>¢</a:t>
          </a:r>
          <a:endParaRPr lang="en-US" sz="1200" b="1"/>
        </a:p>
      </cdr:txBody>
    </cdr:sp>
  </cdr:relSizeAnchor>
  <cdr:relSizeAnchor xmlns:cdr="http://schemas.openxmlformats.org/drawingml/2006/chartDrawing">
    <cdr:from>
      <cdr:x>0.69309</cdr:x>
      <cdr:y>0.8891</cdr:y>
    </cdr:from>
    <cdr:to>
      <cdr:x>0.76921</cdr:x>
      <cdr:y>0.95921</cdr:y>
    </cdr:to>
    <cdr:sp macro="" textlink="">
      <cdr:nvSpPr>
        <cdr:cNvPr id="15" name="TextBox 14"/>
        <cdr:cNvSpPr txBox="1"/>
      </cdr:nvSpPr>
      <cdr:spPr>
        <a:xfrm xmlns:a="http://schemas.openxmlformats.org/drawingml/2006/main">
          <a:off x="3796859" y="3251964"/>
          <a:ext cx="417008" cy="25644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b="1"/>
            <a:t>V'</a:t>
          </a:r>
        </a:p>
      </cdr:txBody>
    </cdr:sp>
  </cdr:relSizeAnchor>
  <cdr:relSizeAnchor xmlns:cdr="http://schemas.openxmlformats.org/drawingml/2006/chartDrawing">
    <cdr:from>
      <cdr:x>0.25673</cdr:x>
      <cdr:y>0.82975</cdr:y>
    </cdr:from>
    <cdr:to>
      <cdr:x>0.25711</cdr:x>
      <cdr:y>0.89811</cdr:y>
    </cdr:to>
    <cdr:cxnSp macro="">
      <cdr:nvCxnSpPr>
        <cdr:cNvPr id="17" name="Straight Arrow Connector 16"/>
        <cdr:cNvCxnSpPr/>
      </cdr:nvCxnSpPr>
      <cdr:spPr>
        <a:xfrm xmlns:a="http://schemas.openxmlformats.org/drawingml/2006/main" flipH="1" flipV="1">
          <a:off x="1406420" y="3034904"/>
          <a:ext cx="2090" cy="25003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0.91453</cdr:x>
      <cdr:y>0.82612</cdr:y>
    </cdr:from>
    <cdr:to>
      <cdr:x>0.91566</cdr:x>
      <cdr:y>0.89648</cdr:y>
    </cdr:to>
    <cdr:cxnSp macro="">
      <cdr:nvCxnSpPr>
        <cdr:cNvPr id="18" name="Straight Arrow Connector 17"/>
        <cdr:cNvCxnSpPr/>
      </cdr:nvCxnSpPr>
      <cdr:spPr>
        <a:xfrm xmlns:a="http://schemas.openxmlformats.org/drawingml/2006/main" flipH="1" flipV="1">
          <a:off x="5009939" y="3021623"/>
          <a:ext cx="6164" cy="257358"/>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0.70918</cdr:x>
      <cdr:y>0.83301</cdr:y>
    </cdr:from>
    <cdr:to>
      <cdr:x>0.74939</cdr:x>
      <cdr:y>0.91602</cdr:y>
    </cdr:to>
    <cdr:sp macro="" textlink="">
      <cdr:nvSpPr>
        <cdr:cNvPr id="28" name="Arc 27"/>
        <cdr:cNvSpPr/>
      </cdr:nvSpPr>
      <cdr:spPr>
        <a:xfrm xmlns:a="http://schemas.openxmlformats.org/drawingml/2006/main">
          <a:off x="3885009" y="3046809"/>
          <a:ext cx="220266" cy="303610"/>
        </a:xfrm>
        <a:prstGeom xmlns:a="http://schemas.openxmlformats.org/drawingml/2006/main" prst="arc">
          <a:avLst>
            <a:gd name="adj1" fmla="val 17352464"/>
            <a:gd name="adj2" fmla="val 4526552"/>
          </a:avLst>
        </a:prstGeom>
        <a:ln xmlns:a="http://schemas.openxmlformats.org/drawingml/2006/main">
          <a:solidFill>
            <a:schemeClr val="tx1"/>
          </a:solidFill>
          <a:head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0.66751</cdr:x>
      <cdr:y>0.83138</cdr:y>
    </cdr:from>
    <cdr:to>
      <cdr:x>0.66789</cdr:x>
      <cdr:y>0.89974</cdr:y>
    </cdr:to>
    <cdr:cxnSp macro="">
      <cdr:nvCxnSpPr>
        <cdr:cNvPr id="29" name="Straight Arrow Connector 28"/>
        <cdr:cNvCxnSpPr/>
      </cdr:nvCxnSpPr>
      <cdr:spPr>
        <a:xfrm xmlns:a="http://schemas.openxmlformats.org/drawingml/2006/main" flipH="1" flipV="1">
          <a:off x="3656702" y="3040857"/>
          <a:ext cx="2090" cy="25003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0.75482</cdr:x>
      <cdr:y>0.88509</cdr:y>
    </cdr:from>
    <cdr:to>
      <cdr:x>0.83959</cdr:x>
      <cdr:y>0.95833</cdr:y>
    </cdr:to>
    <cdr:sp macro="" textlink="">
      <cdr:nvSpPr>
        <cdr:cNvPr id="30" name="TextBox 29"/>
        <cdr:cNvSpPr txBox="1"/>
      </cdr:nvSpPr>
      <cdr:spPr>
        <a:xfrm xmlns:a="http://schemas.openxmlformats.org/drawingml/2006/main">
          <a:off x="4135041" y="3237310"/>
          <a:ext cx="464344" cy="26789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b="1"/>
            <a:t>Ask</a:t>
          </a:r>
        </a:p>
      </cdr:txBody>
    </cdr:sp>
  </cdr:relSizeAnchor>
</c:userShapes>
</file>

<file path=word/drawings/drawing3.xml><?xml version="1.0" encoding="utf-8"?>
<c:userShapes xmlns:c="http://schemas.openxmlformats.org/drawingml/2006/chart">
  <cdr:relSizeAnchor xmlns:cdr="http://schemas.openxmlformats.org/drawingml/2006/chartDrawing">
    <cdr:from>
      <cdr:x>0.79577</cdr:x>
      <cdr:y>0.88431</cdr:y>
    </cdr:from>
    <cdr:to>
      <cdr:x>0.87717</cdr:x>
      <cdr:y>0.9416</cdr:y>
    </cdr:to>
    <cdr:sp macro="" textlink="">
      <cdr:nvSpPr>
        <cdr:cNvPr id="14" name="TextBox 13"/>
        <cdr:cNvSpPr txBox="1"/>
      </cdr:nvSpPr>
      <cdr:spPr>
        <a:xfrm xmlns:a="http://schemas.openxmlformats.org/drawingml/2006/main">
          <a:off x="4364810" y="3234447"/>
          <a:ext cx="446488" cy="2095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1"/>
            <a:t>Ask</a:t>
          </a:r>
          <a:r>
            <a:rPr lang="en-US" sz="1100" b="1" baseline="-25000"/>
            <a:t>2</a:t>
          </a:r>
        </a:p>
      </cdr:txBody>
    </cdr:sp>
  </cdr:relSizeAnchor>
  <cdr:relSizeAnchor xmlns:cdr="http://schemas.openxmlformats.org/drawingml/2006/chartDrawing">
    <cdr:from>
      <cdr:x>0.54852</cdr:x>
      <cdr:y>0.86979</cdr:y>
    </cdr:from>
    <cdr:to>
      <cdr:x>0.64551</cdr:x>
      <cdr:y>1</cdr:y>
    </cdr:to>
    <cdr:sp macro="" textlink="">
      <cdr:nvSpPr>
        <cdr:cNvPr id="16" name="TextBox 15"/>
        <cdr:cNvSpPr txBox="1"/>
      </cdr:nvSpPr>
      <cdr:spPr>
        <a:xfrm xmlns:a="http://schemas.openxmlformats.org/drawingml/2006/main">
          <a:off x="3008628" y="3181349"/>
          <a:ext cx="531985" cy="47625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b="1"/>
            <a:t>Ask</a:t>
          </a:r>
          <a:r>
            <a:rPr lang="en-US" sz="1200" b="1" baseline="-25000"/>
            <a:t>1</a:t>
          </a:r>
          <a:r>
            <a:rPr lang="en-US" sz="1200" b="1" baseline="0">
              <a:effectLst/>
              <a:latin typeface="+mn-lt"/>
              <a:ea typeface="+mn-ea"/>
              <a:cs typeface="+mn-cs"/>
            </a:rPr>
            <a:t>=</a:t>
          </a:r>
          <a:r>
            <a:rPr lang="en-US" sz="1200" b="1">
              <a:effectLst/>
              <a:latin typeface="+mn-lt"/>
              <a:ea typeface="+mn-ea"/>
              <a:cs typeface="+mn-cs"/>
            </a:rPr>
            <a:t>Bid</a:t>
          </a:r>
          <a:r>
            <a:rPr lang="en-US" sz="1200" b="1" baseline="-25000">
              <a:effectLst/>
              <a:latin typeface="+mn-lt"/>
              <a:ea typeface="+mn-ea"/>
              <a:cs typeface="+mn-cs"/>
            </a:rPr>
            <a:t>2</a:t>
          </a:r>
          <a:endParaRPr lang="en-US">
            <a:effectLst/>
          </a:endParaRPr>
        </a:p>
        <a:p xmlns:a="http://schemas.openxmlformats.org/drawingml/2006/main">
          <a:endParaRPr lang="en-US" sz="1100" b="1" baseline="-25000"/>
        </a:p>
      </cdr:txBody>
    </cdr:sp>
  </cdr:relSizeAnchor>
  <cdr:relSizeAnchor xmlns:cdr="http://schemas.openxmlformats.org/drawingml/2006/chartDrawing">
    <cdr:from>
      <cdr:x>0.33738</cdr:x>
      <cdr:y>0.03438</cdr:y>
    </cdr:from>
    <cdr:to>
      <cdr:x>0.33738</cdr:x>
      <cdr:y>0.81438</cdr:y>
    </cdr:to>
    <cdr:cxnSp macro="">
      <cdr:nvCxnSpPr>
        <cdr:cNvPr id="6" name="Straight Connector 5"/>
        <cdr:cNvCxnSpPr/>
      </cdr:nvCxnSpPr>
      <cdr:spPr>
        <a:xfrm xmlns:a="http://schemas.openxmlformats.org/drawingml/2006/main">
          <a:off x="1855470" y="125730"/>
          <a:ext cx="0" cy="2852928"/>
        </a:xfrm>
        <a:prstGeom xmlns:a="http://schemas.openxmlformats.org/drawingml/2006/main" prst="line">
          <a:avLst/>
        </a:prstGeom>
        <a:ln xmlns:a="http://schemas.openxmlformats.org/drawingml/2006/main" w="635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0.29905</cdr:x>
      <cdr:y>0.88802</cdr:y>
    </cdr:from>
    <cdr:to>
      <cdr:x>0.38045</cdr:x>
      <cdr:y>0.94531</cdr:y>
    </cdr:to>
    <cdr:sp macro="" textlink="">
      <cdr:nvSpPr>
        <cdr:cNvPr id="22" name="TextBox 21"/>
        <cdr:cNvSpPr txBox="1"/>
      </cdr:nvSpPr>
      <cdr:spPr>
        <a:xfrm xmlns:a="http://schemas.openxmlformats.org/drawingml/2006/main">
          <a:off x="1640286" y="3248025"/>
          <a:ext cx="446487" cy="2095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b="1"/>
            <a:t>Bid</a:t>
          </a:r>
          <a:r>
            <a:rPr lang="en-US" sz="1200" b="1" baseline="-25000"/>
            <a:t>1</a:t>
          </a:r>
        </a:p>
      </cdr:txBody>
    </cdr:sp>
  </cdr:relSizeAnchor>
  <cdr:relSizeAnchor xmlns:cdr="http://schemas.openxmlformats.org/drawingml/2006/chartDrawing">
    <cdr:from>
      <cdr:x>0.5854</cdr:x>
      <cdr:y>0.03646</cdr:y>
    </cdr:from>
    <cdr:to>
      <cdr:x>0.5854</cdr:x>
      <cdr:y>0.81646</cdr:y>
    </cdr:to>
    <cdr:cxnSp macro="">
      <cdr:nvCxnSpPr>
        <cdr:cNvPr id="25" name="Straight Connector 24"/>
        <cdr:cNvCxnSpPr/>
      </cdr:nvCxnSpPr>
      <cdr:spPr>
        <a:xfrm xmlns:a="http://schemas.openxmlformats.org/drawingml/2006/main">
          <a:off x="3219450" y="133350"/>
          <a:ext cx="0" cy="2852928"/>
        </a:xfrm>
        <a:prstGeom xmlns:a="http://schemas.openxmlformats.org/drawingml/2006/main" prst="line">
          <a:avLst/>
        </a:prstGeom>
        <a:ln xmlns:a="http://schemas.openxmlformats.org/drawingml/2006/main" w="635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0.83341</cdr:x>
      <cdr:y>0.0375</cdr:y>
    </cdr:from>
    <cdr:to>
      <cdr:x>0.83341</cdr:x>
      <cdr:y>0.8175</cdr:y>
    </cdr:to>
    <cdr:cxnSp macro="">
      <cdr:nvCxnSpPr>
        <cdr:cNvPr id="26" name="Straight Connector 25"/>
        <cdr:cNvCxnSpPr/>
      </cdr:nvCxnSpPr>
      <cdr:spPr>
        <a:xfrm xmlns:a="http://schemas.openxmlformats.org/drawingml/2006/main">
          <a:off x="4583430" y="137160"/>
          <a:ext cx="0" cy="2852928"/>
        </a:xfrm>
        <a:prstGeom xmlns:a="http://schemas.openxmlformats.org/drawingml/2006/main" prst="line">
          <a:avLst/>
        </a:prstGeom>
        <a:ln xmlns:a="http://schemas.openxmlformats.org/drawingml/2006/main" w="635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AC922-67FB-4376-9F5E-9AA3CD012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50</Pages>
  <Words>14350</Words>
  <Characters>81795</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USC- Marshall School of Business</Company>
  <LinksUpToDate>false</LinksUpToDate>
  <CharactersWithSpaces>95954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Harris</dc:creator>
  <cp:lastModifiedBy>Larry Harris</cp:lastModifiedBy>
  <cp:revision>3</cp:revision>
  <cp:lastPrinted>2013-11-14T15:50:00Z</cp:lastPrinted>
  <dcterms:created xsi:type="dcterms:W3CDTF">2013-11-14T15:48:00Z</dcterms:created>
  <dcterms:modified xsi:type="dcterms:W3CDTF">2013-11-14T15:50:00Z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